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809" w:rsidRDefault="00B20809" w:rsidP="00C93DBC">
      <w:pPr>
        <w:snapToGrid w:val="0"/>
        <w:spacing w:after="0"/>
        <w:rPr>
          <w:rFonts w:cs="Arial"/>
          <w:b/>
          <w:sz w:val="28"/>
          <w:szCs w:val="28"/>
        </w:rPr>
      </w:pPr>
    </w:p>
    <w:p w:rsidR="001A3E43" w:rsidRPr="001A3E43" w:rsidRDefault="004217D4"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r>
        <w:rPr>
          <w:rFonts w:asciiTheme="minorHAnsi" w:eastAsia="SimSun" w:hAnsiTheme="minorHAnsi" w:cs="Arial"/>
          <w:b/>
          <w:sz w:val="24"/>
          <w:szCs w:val="24"/>
        </w:rPr>
        <w:t>3GPP TSG RAN WG1 Meeting #91</w:t>
      </w:r>
      <w:r w:rsidR="001A3E43" w:rsidRPr="001A3E43">
        <w:rPr>
          <w:rFonts w:asciiTheme="minorHAnsi" w:eastAsia="SimSun" w:hAnsiTheme="minorHAnsi" w:cs="Arial"/>
          <w:b/>
          <w:sz w:val="24"/>
          <w:szCs w:val="24"/>
        </w:rPr>
        <w:t xml:space="preserve">                                                                         </w:t>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001A3E43" w:rsidRPr="001A3E43">
        <w:rPr>
          <w:rFonts w:asciiTheme="minorHAnsi" w:eastAsia="SimSun" w:hAnsiTheme="minorHAnsi" w:cs="Arial"/>
          <w:b/>
          <w:sz w:val="24"/>
          <w:szCs w:val="24"/>
        </w:rPr>
        <w:t>R1-17</w:t>
      </w:r>
      <w:r>
        <w:rPr>
          <w:rFonts w:asciiTheme="minorHAnsi" w:eastAsia="SimSun" w:hAnsiTheme="minorHAnsi" w:cs="Arial"/>
          <w:b/>
          <w:sz w:val="24"/>
          <w:szCs w:val="24"/>
        </w:rPr>
        <w:t>19653</w:t>
      </w:r>
      <w:r>
        <w:rPr>
          <w:rFonts w:asciiTheme="minorHAnsi" w:eastAsia="SimSun" w:hAnsiTheme="minorHAnsi" w:cs="Arial"/>
          <w:b/>
          <w:sz w:val="24"/>
          <w:szCs w:val="24"/>
        </w:rPr>
        <w:cr/>
        <w:t>Reno, USA, November 27 – December 1,</w:t>
      </w:r>
      <w:r w:rsidR="001A3E43" w:rsidRPr="001A3E43">
        <w:rPr>
          <w:rFonts w:asciiTheme="minorHAnsi" w:eastAsia="SimSun" w:hAnsiTheme="minorHAnsi" w:cs="Arial"/>
          <w:b/>
          <w:sz w:val="24"/>
          <w:szCs w:val="24"/>
        </w:rPr>
        <w:t xml:space="preserve"> 2017</w:t>
      </w:r>
    </w:p>
    <w:p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0" w:name="Source"/>
      <w:bookmarkEnd w:id="0"/>
      <w:r w:rsidR="004217D4">
        <w:rPr>
          <w:rFonts w:asciiTheme="minorHAnsi" w:eastAsia="SimSun" w:hAnsiTheme="minorHAnsi"/>
          <w:b/>
          <w:sz w:val="24"/>
          <w:szCs w:val="24"/>
        </w:rPr>
        <w:t>7.6.1</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4217D4">
        <w:rPr>
          <w:rFonts w:asciiTheme="minorHAnsi" w:eastAsia="SimSun" w:hAnsiTheme="minorHAnsi"/>
          <w:b/>
          <w:sz w:val="24"/>
          <w:szCs w:val="24"/>
        </w:rPr>
        <w:t>Dynamic Power Control and Coverage Impact</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1" w:name="DocumentFor"/>
      <w:bookmarkEnd w:id="1"/>
      <w:r w:rsidRPr="001A3E43">
        <w:rPr>
          <w:rFonts w:asciiTheme="minorHAnsi" w:eastAsia="SimSun" w:hAnsiTheme="minorHAnsi"/>
          <w:b/>
          <w:sz w:val="24"/>
          <w:szCs w:val="24"/>
        </w:rPr>
        <w:t>Discussion/Approval</w:t>
      </w:r>
    </w:p>
    <w:p w:rsidR="00A64CF7" w:rsidRPr="00A11840" w:rsidRDefault="00A64CF7" w:rsidP="00424124">
      <w:pPr>
        <w:pStyle w:val="NoSpacing"/>
        <w:jc w:val="left"/>
        <w:rPr>
          <w:sz w:val="16"/>
          <w:szCs w:val="16"/>
        </w:rPr>
      </w:pPr>
    </w:p>
    <w:p w:rsidR="00707D20" w:rsidRDefault="00424124" w:rsidP="00326FF6">
      <w:pPr>
        <w:pStyle w:val="Heading1"/>
      </w:pPr>
      <w:r w:rsidRPr="00172743">
        <w:t>Introduction</w:t>
      </w:r>
    </w:p>
    <w:p w:rsidR="00BD006B" w:rsidRDefault="0010570F" w:rsidP="00BD006B">
      <w:pPr>
        <w:spacing w:before="0" w:after="0"/>
      </w:pPr>
      <w:r>
        <w:t xml:space="preserve">UL power control for NSA operation using EN-DC has a potential impact on the coverage of 5G services that a UE </w:t>
      </w:r>
      <w:r w:rsidR="005A11F3">
        <w:t>experiences</w:t>
      </w:r>
      <w:r>
        <w:t>. In RAN1 #90 dynamic and semi-static power sharing were identified as two UL power control mechanism. In the case of dynamic power sharing it is assumed that the UE is capable of dynamically coordinating between its NR and LTE transmission on a per scheduling grant basis. On the other hand for semi-static power sharing the LTE and NR transmission can only share power over longer time scale via RRC signaling. Based on the identification of these two power control mechanisms the following agreements were reached in RAN1 #90</w:t>
      </w:r>
    </w:p>
    <w:p w:rsidR="0010570F" w:rsidRPr="0010570F" w:rsidRDefault="0010570F" w:rsidP="0010570F">
      <w:pPr>
        <w:rPr>
          <w:rFonts w:asciiTheme="minorHAnsi" w:eastAsia="MS Mincho" w:hAnsiTheme="minorHAnsi"/>
          <w:lang w:eastAsia="ja-JP"/>
        </w:rPr>
      </w:pPr>
      <w:r w:rsidRPr="0010570F">
        <w:rPr>
          <w:rFonts w:asciiTheme="minorHAnsi" w:eastAsia="MS Mincho" w:hAnsiTheme="minorHAnsi"/>
          <w:highlight w:val="green"/>
          <w:lang w:eastAsia="ja-JP"/>
        </w:rPr>
        <w:t>Agreements:</w:t>
      </w:r>
    </w:p>
    <w:p w:rsidR="0010570F" w:rsidRPr="0010570F" w:rsidRDefault="0010570F" w:rsidP="0010570F">
      <w:pPr>
        <w:numPr>
          <w:ilvl w:val="0"/>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At least for LTE-NR NSA operation</w:t>
      </w:r>
    </w:p>
    <w:p w:rsidR="0010570F" w:rsidRPr="0010570F" w:rsidRDefault="0010570F" w:rsidP="0010570F">
      <w:pPr>
        <w:numPr>
          <w:ilvl w:val="1"/>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Maximum allowed power values for LTE (P_LTE) and NR (P_NR) are set separately</w:t>
      </w:r>
    </w:p>
    <w:p w:rsidR="0010570F" w:rsidRPr="0010570F" w:rsidRDefault="0010570F" w:rsidP="0010570F">
      <w:pPr>
        <w:numPr>
          <w:ilvl w:val="2"/>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 xml:space="preserve">i.e., when UE is configured for NR, P_LTE can be configured up to P_cmax and  P_NR can be configured up to P_cmax. </w:t>
      </w:r>
    </w:p>
    <w:p w:rsidR="0010570F" w:rsidRPr="0010570F" w:rsidRDefault="0010570F" w:rsidP="0010570F">
      <w:pPr>
        <w:numPr>
          <w:ilvl w:val="2"/>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e.g. P_LTE + P_NR &gt; P_cmax or P_LTE + P_NR = P_cmax</w:t>
      </w:r>
    </w:p>
    <w:p w:rsidR="0010570F" w:rsidRPr="0010570F" w:rsidRDefault="0010570F" w:rsidP="0010570F">
      <w:pPr>
        <w:numPr>
          <w:ilvl w:val="1"/>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Signaling details for P_LTE, P_NR are left to RAN2, RAN4.</w:t>
      </w:r>
    </w:p>
    <w:p w:rsidR="0010570F" w:rsidRPr="0010570F" w:rsidRDefault="0010570F" w:rsidP="0010570F">
      <w:pPr>
        <w:numPr>
          <w:ilvl w:val="1"/>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Note: ‘P_cmax’ is a limit that is similar to ‘The configured maximum UE output power’ that was specified for LTE.</w:t>
      </w:r>
    </w:p>
    <w:p w:rsidR="0010570F" w:rsidRPr="0010570F" w:rsidRDefault="0010570F" w:rsidP="0010570F">
      <w:pPr>
        <w:numPr>
          <w:ilvl w:val="1"/>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Note: The network will still have flexibility to prioritize or reserve certain NR transmission power depending on network implementation</w:t>
      </w:r>
    </w:p>
    <w:p w:rsidR="0010570F" w:rsidRPr="0010570F" w:rsidRDefault="0010570F" w:rsidP="0010570F">
      <w:pPr>
        <w:numPr>
          <w:ilvl w:val="1"/>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All UEs are mandated to handle P_LTE + P_NR = P_cmax while handling of P_LTE + P_NR &gt; P_cmax depends on UE capability</w:t>
      </w:r>
    </w:p>
    <w:p w:rsidR="0010570F" w:rsidRPr="0010570F" w:rsidRDefault="0010570F" w:rsidP="0010570F">
      <w:pPr>
        <w:numPr>
          <w:ilvl w:val="1"/>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 xml:space="preserve">At least, when DL/UL LTE sTTI/reduced UE processing time based operation is not configured for the UE, if total transmit power exceeds P_cmax when there is simultaneous NR and LTE UL tx, </w:t>
      </w:r>
    </w:p>
    <w:p w:rsidR="0010570F" w:rsidRPr="0010570F" w:rsidRDefault="0010570F" w:rsidP="0010570F">
      <w:pPr>
        <w:numPr>
          <w:ilvl w:val="2"/>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For NR, UE scales down/drops NR transmission and NR power scaling details are left to UE implementation (note: it is not intended to have RAN4 test from RAN1 perspective)</w:t>
      </w:r>
    </w:p>
    <w:p w:rsidR="0010570F" w:rsidRPr="0010570F" w:rsidRDefault="0010570F" w:rsidP="0010570F">
      <w:pPr>
        <w:numPr>
          <w:ilvl w:val="3"/>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If there are two or more UL carriers, the power scaling or tx dropping can be performed for each of the UL carriers separately or jointly up to UE implementation</w:t>
      </w:r>
    </w:p>
    <w:p w:rsidR="0010570F" w:rsidRPr="0010570F" w:rsidRDefault="0010570F" w:rsidP="0010570F">
      <w:pPr>
        <w:numPr>
          <w:ilvl w:val="2"/>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For LTE, no change in power control procedure</w:t>
      </w:r>
    </w:p>
    <w:p w:rsidR="0010570F" w:rsidRPr="0010570F" w:rsidRDefault="0010570F" w:rsidP="0010570F">
      <w:pPr>
        <w:numPr>
          <w:ilvl w:val="1"/>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FFS the case when DL/UL LTE sTTI/reduced UE processing time based operation is configured for the UE</w:t>
      </w:r>
    </w:p>
    <w:p w:rsidR="0010570F" w:rsidRPr="0010570F" w:rsidRDefault="0010570F" w:rsidP="0010570F">
      <w:pPr>
        <w:numPr>
          <w:ilvl w:val="1"/>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The following is FFS</w:t>
      </w:r>
    </w:p>
    <w:p w:rsidR="0010570F" w:rsidRPr="0010570F" w:rsidRDefault="0010570F" w:rsidP="0010570F">
      <w:pPr>
        <w:numPr>
          <w:ilvl w:val="2"/>
          <w:numId w:val="27"/>
        </w:numPr>
        <w:tabs>
          <w:tab w:val="left" w:pos="1440"/>
        </w:tabs>
        <w:spacing w:before="0" w:after="0"/>
        <w:jc w:val="left"/>
        <w:rPr>
          <w:rFonts w:asciiTheme="minorHAnsi" w:eastAsia="MS Mincho" w:hAnsiTheme="minorHAnsi"/>
          <w:lang w:eastAsia="ja-JP"/>
        </w:rPr>
      </w:pPr>
      <w:r w:rsidRPr="0010570F">
        <w:rPr>
          <w:rFonts w:asciiTheme="minorHAnsi" w:eastAsia="MS Mincho" w:hAnsiTheme="minorHAnsi"/>
          <w:lang w:eastAsia="ja-JP"/>
        </w:rPr>
        <w:t>The case when P_NR is configured such that P_NR &lt; P_cmax, and UE can use power up to P_cmax in NR when it knows that there will be no UL transmission in LTE by semi-static configuration (e.g., measurement gap, DL/UL configuration)</w:t>
      </w:r>
    </w:p>
    <w:p w:rsidR="0010570F" w:rsidRDefault="0010570F" w:rsidP="00BD006B">
      <w:pPr>
        <w:spacing w:before="0" w:after="0"/>
        <w:rPr>
          <w:rFonts w:asciiTheme="minorHAnsi" w:hAnsiTheme="minorHAnsi"/>
          <w:lang w:eastAsia="ko-KR"/>
        </w:rPr>
      </w:pPr>
    </w:p>
    <w:p w:rsidR="0010570F" w:rsidRDefault="0010570F" w:rsidP="00BD006B">
      <w:pPr>
        <w:spacing w:before="0" w:after="0"/>
        <w:rPr>
          <w:rFonts w:asciiTheme="minorHAnsi" w:eastAsia="MS Mincho" w:hAnsiTheme="minorHAnsi"/>
          <w:lang w:eastAsia="ja-JP"/>
        </w:rPr>
      </w:pPr>
      <w:r>
        <w:rPr>
          <w:rFonts w:asciiTheme="minorHAnsi" w:hAnsiTheme="minorHAnsi"/>
          <w:lang w:eastAsia="ko-KR"/>
        </w:rPr>
        <w:t xml:space="preserve">In this case one can see that for semi-static power control the following is mandated: </w:t>
      </w:r>
      <w:r w:rsidRPr="0010570F">
        <w:rPr>
          <w:rFonts w:asciiTheme="minorHAnsi" w:eastAsia="MS Mincho" w:hAnsiTheme="minorHAnsi"/>
          <w:lang w:eastAsia="ja-JP"/>
        </w:rPr>
        <w:t>P_LTE + P_NR = P_cmax</w:t>
      </w:r>
      <w:r>
        <w:rPr>
          <w:rFonts w:asciiTheme="minorHAnsi" w:eastAsia="MS Mincho" w:hAnsiTheme="minorHAnsi"/>
          <w:lang w:eastAsia="ja-JP"/>
        </w:rPr>
        <w:t xml:space="preserve">. On the other hand for dynamic power control the following can also be supported: </w:t>
      </w:r>
      <w:r w:rsidRPr="0010570F">
        <w:rPr>
          <w:rFonts w:asciiTheme="minorHAnsi" w:eastAsia="MS Mincho" w:hAnsiTheme="minorHAnsi"/>
          <w:lang w:eastAsia="ja-JP"/>
        </w:rPr>
        <w:t>P_LTE + P_NR &gt; P_cmax</w:t>
      </w:r>
      <w:r>
        <w:rPr>
          <w:rFonts w:asciiTheme="minorHAnsi" w:eastAsia="MS Mincho" w:hAnsiTheme="minorHAnsi"/>
          <w:lang w:eastAsia="ja-JP"/>
        </w:rPr>
        <w:t xml:space="preserve"> depending on UE capability. This essentially implies that dynamic power control between LTE and NR is a UE capability and therefore all UEs are not mandated to support this case. </w:t>
      </w:r>
    </w:p>
    <w:p w:rsidR="00013940" w:rsidRDefault="00013940" w:rsidP="00BD006B">
      <w:pPr>
        <w:spacing w:before="0" w:after="0"/>
        <w:rPr>
          <w:rFonts w:asciiTheme="minorHAnsi" w:eastAsia="MS Mincho" w:hAnsiTheme="minorHAnsi"/>
          <w:lang w:eastAsia="ja-JP"/>
        </w:rPr>
      </w:pPr>
    </w:p>
    <w:p w:rsidR="00013940" w:rsidRDefault="00650FEB" w:rsidP="00013940">
      <w:pPr>
        <w:pStyle w:val="Heading1"/>
        <w:rPr>
          <w:lang w:eastAsia="ko-KR"/>
        </w:rPr>
      </w:pPr>
      <w:r>
        <w:rPr>
          <w:lang w:eastAsia="ko-KR"/>
        </w:rPr>
        <w:lastRenderedPageBreak/>
        <w:t xml:space="preserve">UL Coverage Impact from </w:t>
      </w:r>
      <w:r w:rsidR="00013940">
        <w:rPr>
          <w:lang w:eastAsia="ko-KR"/>
        </w:rPr>
        <w:t>Semi-Static and Dynamic Power Sharing</w:t>
      </w:r>
    </w:p>
    <w:p w:rsidR="00013940" w:rsidRDefault="00013940" w:rsidP="00013940">
      <w:pPr>
        <w:rPr>
          <w:lang w:eastAsia="ko-KR"/>
        </w:rPr>
      </w:pPr>
      <w:r>
        <w:rPr>
          <w:lang w:eastAsia="ko-KR"/>
        </w:rPr>
        <w:t xml:space="preserve">Before delving into the coverage impact of power sharing mechanism it is better to understand what the agreement from RAN1 #90 really entails. Let us consider the two cases: </w:t>
      </w:r>
    </w:p>
    <w:p w:rsidR="00013940" w:rsidRPr="00013940" w:rsidRDefault="00013940" w:rsidP="00013940">
      <w:pPr>
        <w:pStyle w:val="ListParagraph"/>
        <w:numPr>
          <w:ilvl w:val="0"/>
          <w:numId w:val="28"/>
        </w:numPr>
        <w:rPr>
          <w:lang w:eastAsia="ko-KR"/>
        </w:rPr>
      </w:pPr>
      <w:r>
        <w:rPr>
          <w:lang w:eastAsia="ko-KR"/>
        </w:rPr>
        <w:t xml:space="preserve">Case 1: </w:t>
      </w:r>
      <w:r w:rsidRPr="0010570F">
        <w:rPr>
          <w:rFonts w:asciiTheme="minorHAnsi" w:eastAsia="MS Mincho" w:hAnsiTheme="minorHAnsi"/>
          <w:lang w:eastAsia="ja-JP"/>
        </w:rPr>
        <w:t>P_LTE + P_NR = P_cmax</w:t>
      </w:r>
    </w:p>
    <w:p w:rsidR="00013940" w:rsidRPr="00013940" w:rsidRDefault="00013940" w:rsidP="00013940">
      <w:pPr>
        <w:pStyle w:val="ListParagraph"/>
        <w:numPr>
          <w:ilvl w:val="0"/>
          <w:numId w:val="28"/>
        </w:numPr>
        <w:rPr>
          <w:lang w:eastAsia="ko-KR"/>
        </w:rPr>
      </w:pPr>
      <w:r>
        <w:rPr>
          <w:rFonts w:asciiTheme="minorHAnsi" w:eastAsia="MS Mincho" w:hAnsiTheme="minorHAnsi"/>
          <w:lang w:eastAsia="ja-JP"/>
        </w:rPr>
        <w:t>Case 2: P_LTE + P_NR &gt;</w:t>
      </w:r>
      <w:r w:rsidRPr="0010570F">
        <w:rPr>
          <w:rFonts w:asciiTheme="minorHAnsi" w:eastAsia="MS Mincho" w:hAnsiTheme="minorHAnsi"/>
          <w:lang w:eastAsia="ja-JP"/>
        </w:rPr>
        <w:t xml:space="preserve"> P_cmax</w:t>
      </w:r>
    </w:p>
    <w:p w:rsidR="00013940" w:rsidRDefault="00013940" w:rsidP="00013940">
      <w:pPr>
        <w:rPr>
          <w:lang w:eastAsia="ko-KR"/>
        </w:rPr>
      </w:pPr>
      <w:r>
        <w:rPr>
          <w:lang w:eastAsia="ko-KR"/>
        </w:rPr>
        <w:t xml:space="preserve">In both these cases the values of P_LTE and P_NR is semi-statically configured at the LTE eNB and NR gNB respectively. In Case 1 since the sum of P_LTE and P_NR is strictly less than or equal to P_cmax there is no need for any coordination either at the network side or at the UE side between LTE and NR. Therefore this is expected to work under all conditions without any dynamic coordination between LTE and NR. However, for Case 2 since the </w:t>
      </w:r>
      <w:r w:rsidR="00125166">
        <w:rPr>
          <w:lang w:eastAsia="ko-KR"/>
        </w:rPr>
        <w:t xml:space="preserve">sum of P_LTE and P_NR is greater than P_cmax some dynamic coordination is needed. It should be noted that the P_LTE + P_NR &gt; P_cmax does actually mean that the UE can actually transmit at greater than P_cmax at any time. The total instantaneous power is still limited to P_cmax. Instead when such a situation happens the UE needs to reduce the power in its LTE transmission and NR transmission such that the total power is less than equal to P_cmax. How this is done is what is captured in </w:t>
      </w:r>
      <w:r w:rsidR="00510835">
        <w:rPr>
          <w:lang w:eastAsia="ko-KR"/>
        </w:rPr>
        <w:t xml:space="preserve">agreement where the LTE power control is not impacted and the power reduction happens for NR. </w:t>
      </w:r>
    </w:p>
    <w:p w:rsidR="00510835" w:rsidRDefault="00650FEB" w:rsidP="00013940">
      <w:pPr>
        <w:rPr>
          <w:lang w:eastAsia="ko-KR"/>
        </w:rPr>
      </w:pPr>
      <w:r>
        <w:rPr>
          <w:lang w:eastAsia="ko-KR"/>
        </w:rPr>
        <w:t xml:space="preserve">Since in the case of dual connectivity between LTE and NR power is shared between the two RATs it is inevitable that there will be a detrimental impact on the UL coverage compared to the LTE only case. This is problematic since most early deployment of NR will be based on the NSA specs using dual connectivity between LTE and NR. In this document we will provide an estimate of the UL coverage impact for the two UL power control mechanisms as discussed in this section. </w:t>
      </w:r>
    </w:p>
    <w:p w:rsidR="00650FEB" w:rsidRDefault="00650FEB" w:rsidP="00650FEB">
      <w:pPr>
        <w:pStyle w:val="Heading2"/>
        <w:rPr>
          <w:lang w:eastAsia="ko-KR"/>
        </w:rPr>
      </w:pPr>
      <w:r>
        <w:rPr>
          <w:lang w:eastAsia="ko-KR"/>
        </w:rPr>
        <w:t xml:space="preserve">PUCCH </w:t>
      </w:r>
      <w:r w:rsidR="00EC5230">
        <w:rPr>
          <w:lang w:eastAsia="ko-KR"/>
        </w:rPr>
        <w:t>Link Performance</w:t>
      </w:r>
    </w:p>
    <w:p w:rsidR="00423EC4" w:rsidRDefault="009A7C93" w:rsidP="00650FEB">
      <w:pPr>
        <w:rPr>
          <w:lang w:eastAsia="ko-KR"/>
        </w:rPr>
      </w:pPr>
      <w:r>
        <w:rPr>
          <w:lang w:eastAsia="ko-KR"/>
        </w:rPr>
        <w:t xml:space="preserve">In Rel. 15 RAN1 has defined quite a few features as a part of the PUCCH design that provide a significant improvement to the PUCCH coverage relative to LTE. First is the concept of multi-slot PUCCH where the PUCCH transmission is repeated over multiple UL slots. So far 2, 4, and 8 slot repetition is defined for PUCCH which allows the PUCCH to be transmitted over 2, 4 or 8 slots. This allows the PUCCH signal to be coherently combined over multiple slots thereby improving the UL coverage. The other feature that improves the UL PUCCH coverage is the usage of </w:t>
      </w:r>
      <w:r w:rsidRPr="00AB5087">
        <w:rPr>
          <w:rFonts w:ascii="Symbol" w:hAnsi="Symbol"/>
          <w:lang w:eastAsia="ko-KR"/>
        </w:rPr>
        <w:t></w:t>
      </w:r>
      <w:r>
        <w:rPr>
          <w:lang w:eastAsia="ko-KR"/>
        </w:rPr>
        <w:t xml:space="preserve">/2 BPSK modulation which has a significantly lower PAPR relative to the QPSK modulation as used by LTE. The lower PAPR in NR implies that PA can be driven at higher </w:t>
      </w:r>
      <w:r w:rsidR="00AB5087">
        <w:rPr>
          <w:lang w:eastAsia="ko-KR"/>
        </w:rPr>
        <w:t xml:space="preserve">power level which is expected to improve the coverage. It should be noted that even though with </w:t>
      </w:r>
      <w:r w:rsidR="00AB5087" w:rsidRPr="00AB5087">
        <w:rPr>
          <w:rFonts w:ascii="Symbol" w:hAnsi="Symbol"/>
          <w:lang w:eastAsia="ko-KR"/>
        </w:rPr>
        <w:t></w:t>
      </w:r>
      <w:r w:rsidR="00AB5087">
        <w:rPr>
          <w:lang w:eastAsia="ko-KR"/>
        </w:rPr>
        <w:t xml:space="preserve">/2 BPSK it possible to have a higher PA setting it is something we have NOT considered in this analysis since that still depends on RAN4 decision. </w:t>
      </w:r>
      <w:r w:rsidR="000A42FF">
        <w:rPr>
          <w:lang w:eastAsia="ko-KR"/>
        </w:rPr>
        <w:t xml:space="preserve">Shown in </w:t>
      </w:r>
      <w:r w:rsidR="000A42FF">
        <w:rPr>
          <w:lang w:eastAsia="ko-KR"/>
        </w:rPr>
        <w:fldChar w:fldCharType="begin"/>
      </w:r>
      <w:r w:rsidR="000A42FF">
        <w:rPr>
          <w:lang w:eastAsia="ko-KR"/>
        </w:rPr>
        <w:instrText xml:space="preserve"> REF _Ref498547584 \h </w:instrText>
      </w:r>
      <w:r w:rsidR="000A42FF">
        <w:rPr>
          <w:lang w:eastAsia="ko-KR"/>
        </w:rPr>
      </w:r>
      <w:r w:rsidR="000A42FF">
        <w:rPr>
          <w:lang w:eastAsia="ko-KR"/>
        </w:rPr>
        <w:fldChar w:fldCharType="separate"/>
      </w:r>
      <w:r w:rsidR="000A42FF">
        <w:t xml:space="preserve">Figure </w:t>
      </w:r>
      <w:r w:rsidR="000A42FF">
        <w:rPr>
          <w:noProof/>
        </w:rPr>
        <w:t>2</w:t>
      </w:r>
      <w:r w:rsidR="000A42FF">
        <w:noBreakHyphen/>
      </w:r>
      <w:r w:rsidR="000A42FF">
        <w:rPr>
          <w:noProof/>
        </w:rPr>
        <w:t>1</w:t>
      </w:r>
      <w:r w:rsidR="000A42FF">
        <w:rPr>
          <w:lang w:eastAsia="ko-KR"/>
        </w:rPr>
        <w:fldChar w:fldCharType="end"/>
      </w:r>
      <w:r w:rsidR="00423EC4">
        <w:rPr>
          <w:lang w:eastAsia="ko-KR"/>
        </w:rPr>
        <w:t xml:space="preserve"> are the BLER vs SINR performance of LTE and NR PUCCH.</w:t>
      </w:r>
    </w:p>
    <w:p w:rsidR="00650FEB" w:rsidRPr="00650FEB" w:rsidRDefault="00423EC4" w:rsidP="00650FEB">
      <w:pPr>
        <w:rPr>
          <w:lang w:eastAsia="ko-KR"/>
        </w:rPr>
      </w:pPr>
      <w:r>
        <w:rPr>
          <w:lang w:eastAsia="ko-KR"/>
        </w:rPr>
        <w:t xml:space="preserve"> </w:t>
      </w:r>
    </w:p>
    <w:p w:rsidR="00510835" w:rsidRDefault="00423EC4" w:rsidP="00013940">
      <w:pPr>
        <w:rPr>
          <w:lang w:eastAsia="ko-KR"/>
        </w:rPr>
      </w:pPr>
      <w:r>
        <w:rPr>
          <w:noProof/>
        </w:rPr>
        <mc:AlternateContent>
          <mc:Choice Requires="wps">
            <w:drawing>
              <wp:anchor distT="0" distB="0" distL="114300" distR="114300" simplePos="0" relativeHeight="251669504" behindDoc="0" locked="0" layoutInCell="1" allowOverlap="1" wp14:anchorId="1DA5AA73" wp14:editId="7788C7A7">
                <wp:simplePos x="0" y="0"/>
                <wp:positionH relativeFrom="column">
                  <wp:posOffset>4337050</wp:posOffset>
                </wp:positionH>
                <wp:positionV relativeFrom="paragraph">
                  <wp:posOffset>998855</wp:posOffset>
                </wp:positionV>
                <wp:extent cx="311150" cy="50800"/>
                <wp:effectExtent l="19050" t="38100" r="12700" b="63500"/>
                <wp:wrapNone/>
                <wp:docPr id="8" name="Left Arrow 8"/>
                <wp:cNvGraphicFramePr/>
                <a:graphic xmlns:a="http://schemas.openxmlformats.org/drawingml/2006/main">
                  <a:graphicData uri="http://schemas.microsoft.com/office/word/2010/wordprocessingShape">
                    <wps:wsp>
                      <wps:cNvSpPr/>
                      <wps:spPr>
                        <a:xfrm>
                          <a:off x="0" y="0"/>
                          <a:ext cx="311150" cy="50800"/>
                        </a:xfrm>
                        <a:prstGeom prst="leftArrow">
                          <a:avLst>
                            <a:gd name="adj1" fmla="val 50000"/>
                            <a:gd name="adj2" fmla="val 30000"/>
                          </a:avLst>
                        </a:prstGeom>
                        <a:solidFill>
                          <a:srgbClr val="5B9BD5">
                            <a:alpha val="71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53010C"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8" o:spid="_x0000_s1026" type="#_x0000_t66" style="position:absolute;margin-left:341.5pt;margin-top:78.65pt;width:24.5pt;height: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" adj="1058" fillcolor="#5b9bd5" strokecolor="#41719c" strokeweight="1pt">
                <v:fill opacity="46517f"/>
              </v:shape>
            </w:pict>
          </mc:Fallback>
        </mc:AlternateContent>
      </w:r>
      <w:r>
        <w:rPr>
          <w:noProof/>
        </w:rPr>
        <mc:AlternateContent>
          <mc:Choice Requires="wps">
            <w:drawing>
              <wp:anchor distT="0" distB="0" distL="114300" distR="114300" simplePos="0" relativeHeight="251667456" behindDoc="0" locked="0" layoutInCell="1" allowOverlap="1" wp14:anchorId="2FCC214F" wp14:editId="4526B1A9">
                <wp:simplePos x="0" y="0"/>
                <wp:positionH relativeFrom="column">
                  <wp:posOffset>4152900</wp:posOffset>
                </wp:positionH>
                <wp:positionV relativeFrom="paragraph">
                  <wp:posOffset>967105</wp:posOffset>
                </wp:positionV>
                <wp:extent cx="501650" cy="107950"/>
                <wp:effectExtent l="19050" t="38100" r="12700" b="63500"/>
                <wp:wrapNone/>
                <wp:docPr id="7" name="Left Arrow 7"/>
                <wp:cNvGraphicFramePr/>
                <a:graphic xmlns:a="http://schemas.openxmlformats.org/drawingml/2006/main">
                  <a:graphicData uri="http://schemas.microsoft.com/office/word/2010/wordprocessingShape">
                    <wps:wsp>
                      <wps:cNvSpPr/>
                      <wps:spPr>
                        <a:xfrm>
                          <a:off x="0" y="0"/>
                          <a:ext cx="501650" cy="107950"/>
                        </a:xfrm>
                        <a:prstGeom prst="leftArrow">
                          <a:avLst>
                            <a:gd name="adj1" fmla="val 50000"/>
                            <a:gd name="adj2" fmla="val 30000"/>
                          </a:avLst>
                        </a:prstGeom>
                        <a:solidFill>
                          <a:schemeClr val="accent1">
                            <a:alpha val="41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D9629E" id="Left Arrow 7" o:spid="_x0000_s1026" type="#_x0000_t66" style="position:absolute;margin-left:327pt;margin-top:76.15pt;width:39.5pt;height: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" adj="1394" fillcolor="#5b9bd5 [3204]" strokecolor="#1f4d78 [1604]" strokeweight="1pt">
                <v:fill opacity="26985f"/>
              </v:shape>
            </w:pict>
          </mc:Fallback>
        </mc:AlternateContent>
      </w:r>
      <w:r>
        <w:rPr>
          <w:noProof/>
        </w:rPr>
        <mc:AlternateContent>
          <mc:Choice Requires="wps">
            <w:drawing>
              <wp:anchor distT="0" distB="0" distL="114300" distR="114300" simplePos="0" relativeHeight="251665408" behindDoc="0" locked="0" layoutInCell="1" allowOverlap="1" wp14:anchorId="4F312834" wp14:editId="2BE039EB">
                <wp:simplePos x="0" y="0"/>
                <wp:positionH relativeFrom="column">
                  <wp:posOffset>3956050</wp:posOffset>
                </wp:positionH>
                <wp:positionV relativeFrom="paragraph">
                  <wp:posOffset>903605</wp:posOffset>
                </wp:positionV>
                <wp:extent cx="711200" cy="247650"/>
                <wp:effectExtent l="19050" t="38100" r="12700" b="57150"/>
                <wp:wrapNone/>
                <wp:docPr id="6" name="Left Arrow 6"/>
                <wp:cNvGraphicFramePr/>
                <a:graphic xmlns:a="http://schemas.openxmlformats.org/drawingml/2006/main">
                  <a:graphicData uri="http://schemas.microsoft.com/office/word/2010/wordprocessingShape">
                    <wps:wsp>
                      <wps:cNvSpPr/>
                      <wps:spPr>
                        <a:xfrm>
                          <a:off x="0" y="0"/>
                          <a:ext cx="711200" cy="247650"/>
                        </a:xfrm>
                        <a:prstGeom prst="leftArrow">
                          <a:avLst>
                            <a:gd name="adj1" fmla="val 50000"/>
                            <a:gd name="adj2" fmla="val 30000"/>
                          </a:avLst>
                        </a:prstGeom>
                        <a:solidFill>
                          <a:schemeClr val="accent1">
                            <a:alpha val="18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4EB45" id="Left Arrow 6" o:spid="_x0000_s1026" type="#_x0000_t66" style="position:absolute;margin-left:311.5pt;margin-top:71.15pt;width:56pt;height: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" adj="2256" fillcolor="#5b9bd5 [3204]" strokecolor="#1f4d78 [1604]" strokeweight="1pt">
                <v:fill opacity="11822f"/>
              </v:shape>
            </w:pict>
          </mc:Fallback>
        </mc:AlternateContent>
      </w:r>
      <w:r>
        <w:rPr>
          <w:noProof/>
        </w:rPr>
        <mc:AlternateContent>
          <mc:Choice Requires="wps">
            <w:drawing>
              <wp:anchor distT="0" distB="0" distL="114300" distR="114300" simplePos="0" relativeHeight="251663360" behindDoc="0" locked="0" layoutInCell="1" allowOverlap="1" wp14:anchorId="58861BDA" wp14:editId="2BE769C4">
                <wp:simplePos x="0" y="0"/>
                <wp:positionH relativeFrom="column">
                  <wp:posOffset>1657350</wp:posOffset>
                </wp:positionH>
                <wp:positionV relativeFrom="paragraph">
                  <wp:posOffset>998855</wp:posOffset>
                </wp:positionV>
                <wp:extent cx="222250" cy="63500"/>
                <wp:effectExtent l="19050" t="38100" r="25400" b="50800"/>
                <wp:wrapNone/>
                <wp:docPr id="5" name="Left Arrow 5"/>
                <wp:cNvGraphicFramePr/>
                <a:graphic xmlns:a="http://schemas.openxmlformats.org/drawingml/2006/main">
                  <a:graphicData uri="http://schemas.microsoft.com/office/word/2010/wordprocessingShape">
                    <wps:wsp>
                      <wps:cNvSpPr/>
                      <wps:spPr>
                        <a:xfrm>
                          <a:off x="0" y="0"/>
                          <a:ext cx="222250" cy="63500"/>
                        </a:xfrm>
                        <a:prstGeom prst="leftArrow">
                          <a:avLst>
                            <a:gd name="adj1" fmla="val 50000"/>
                            <a:gd name="adj2" fmla="val 30000"/>
                          </a:avLst>
                        </a:prstGeom>
                        <a:solidFill>
                          <a:srgbClr val="5B9BD5">
                            <a:alpha val="71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1513C1" id="Left Arrow 5" o:spid="_x0000_s1026" type="#_x0000_t66" style="position:absolute;margin-left:130.5pt;margin-top:78.65pt;width:17.5pt;height: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" adj="1851" fillcolor="#5b9bd5" strokecolor="#41719c" strokeweight="1pt">
                <v:fill opacity="46517f"/>
              </v:shape>
            </w:pict>
          </mc:Fallback>
        </mc:AlternateContent>
      </w:r>
      <w:r>
        <w:rPr>
          <w:noProof/>
        </w:rPr>
        <mc:AlternateContent>
          <mc:Choice Requires="wps">
            <w:drawing>
              <wp:anchor distT="0" distB="0" distL="114300" distR="114300" simplePos="0" relativeHeight="251661312" behindDoc="0" locked="0" layoutInCell="1" allowOverlap="1" wp14:anchorId="5D9A11A9" wp14:editId="7AA4664B">
                <wp:simplePos x="0" y="0"/>
                <wp:positionH relativeFrom="column">
                  <wp:posOffset>1416050</wp:posOffset>
                </wp:positionH>
                <wp:positionV relativeFrom="paragraph">
                  <wp:posOffset>967105</wp:posOffset>
                </wp:positionV>
                <wp:extent cx="469900" cy="127000"/>
                <wp:effectExtent l="19050" t="38100" r="25400" b="63500"/>
                <wp:wrapNone/>
                <wp:docPr id="4" name="Left Arrow 4"/>
                <wp:cNvGraphicFramePr/>
                <a:graphic xmlns:a="http://schemas.openxmlformats.org/drawingml/2006/main">
                  <a:graphicData uri="http://schemas.microsoft.com/office/word/2010/wordprocessingShape">
                    <wps:wsp>
                      <wps:cNvSpPr/>
                      <wps:spPr>
                        <a:xfrm>
                          <a:off x="0" y="0"/>
                          <a:ext cx="469900" cy="127000"/>
                        </a:xfrm>
                        <a:prstGeom prst="leftArrow">
                          <a:avLst>
                            <a:gd name="adj1" fmla="val 50000"/>
                            <a:gd name="adj2" fmla="val 30000"/>
                          </a:avLst>
                        </a:prstGeom>
                        <a:solidFill>
                          <a:schemeClr val="accent1">
                            <a:alpha val="41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24968F" id="Left Arrow 4" o:spid="_x0000_s1026" type="#_x0000_t66" style="position:absolute;margin-left:111.5pt;margin-top:76.15pt;width:37pt;height:1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" adj="1751" fillcolor="#5b9bd5 [3204]" strokecolor="#1f4d78 [1604]" strokeweight="1pt">
                <v:fill opacity="26985f"/>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1250950</wp:posOffset>
                </wp:positionH>
                <wp:positionV relativeFrom="paragraph">
                  <wp:posOffset>903605</wp:posOffset>
                </wp:positionV>
                <wp:extent cx="641350" cy="254000"/>
                <wp:effectExtent l="19050" t="38100" r="25400" b="50800"/>
                <wp:wrapNone/>
                <wp:docPr id="3" name="Left Arrow 3"/>
                <wp:cNvGraphicFramePr/>
                <a:graphic xmlns:a="http://schemas.openxmlformats.org/drawingml/2006/main">
                  <a:graphicData uri="http://schemas.microsoft.com/office/word/2010/wordprocessingShape">
                    <wps:wsp>
                      <wps:cNvSpPr/>
                      <wps:spPr>
                        <a:xfrm>
                          <a:off x="0" y="0"/>
                          <a:ext cx="641350" cy="254000"/>
                        </a:xfrm>
                        <a:prstGeom prst="leftArrow">
                          <a:avLst>
                            <a:gd name="adj1" fmla="val 50000"/>
                            <a:gd name="adj2" fmla="val 30000"/>
                          </a:avLst>
                        </a:prstGeom>
                        <a:solidFill>
                          <a:schemeClr val="accent1">
                            <a:alpha val="18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C41BF00" id="Left Arrow 3" o:spid="_x0000_s1026" type="#_x0000_t66" style="position:absolute;margin-left:98.5pt;margin-top:71.15pt;width:50.5pt;height:20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" adj="2566" fillcolor="#5b9bd5 [3204]" strokecolor="#1f4d78 [1604]" strokeweight="1pt">
                <v:fill opacity="11822f"/>
              </v:shape>
            </w:pict>
          </mc:Fallback>
        </mc:AlternateContent>
      </w:r>
      <w:r>
        <w:rPr>
          <w:noProof/>
        </w:rPr>
        <w:drawing>
          <wp:inline distT="0" distB="0" distL="0" distR="0" wp14:anchorId="7795EB2A">
            <wp:extent cx="2852928" cy="213969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2928" cy="2139696"/>
                    </a:xfrm>
                    <a:prstGeom prst="rect">
                      <a:avLst/>
                    </a:prstGeom>
                    <a:noFill/>
                  </pic:spPr>
                </pic:pic>
              </a:graphicData>
            </a:graphic>
          </wp:inline>
        </w:drawing>
      </w:r>
      <w:r>
        <w:rPr>
          <w:noProof/>
        </w:rPr>
        <w:drawing>
          <wp:inline distT="0" distB="0" distL="0" distR="0" wp14:anchorId="44AE91E5">
            <wp:extent cx="2843784" cy="213055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pic:spPr>
                </pic:pic>
              </a:graphicData>
            </a:graphic>
          </wp:inline>
        </w:drawing>
      </w:r>
    </w:p>
    <w:p w:rsidR="00423EC4" w:rsidRDefault="00423EC4" w:rsidP="00013940">
      <w:pPr>
        <w:rPr>
          <w:lang w:eastAsia="ko-KR"/>
        </w:rPr>
      </w:pPr>
      <w:r>
        <w:rPr>
          <w:lang w:eastAsia="ko-KR"/>
        </w:rPr>
        <w:tab/>
        <w:t xml:space="preserve">            Format 3 (CSI feedback)</w:t>
      </w:r>
      <w:r>
        <w:rPr>
          <w:lang w:eastAsia="ko-KR"/>
        </w:rPr>
        <w:tab/>
      </w:r>
      <w:r>
        <w:rPr>
          <w:lang w:eastAsia="ko-KR"/>
        </w:rPr>
        <w:tab/>
      </w:r>
      <w:r>
        <w:rPr>
          <w:lang w:eastAsia="ko-KR"/>
        </w:rPr>
        <w:tab/>
      </w:r>
      <w:r>
        <w:rPr>
          <w:lang w:eastAsia="ko-KR"/>
        </w:rPr>
        <w:tab/>
        <w:t xml:space="preserve">Format 1 (HARQ feedback) </w:t>
      </w:r>
    </w:p>
    <w:p w:rsidR="00D222D5" w:rsidRDefault="000A42FF" w:rsidP="00D222D5">
      <w:pPr>
        <w:pStyle w:val="Caption"/>
      </w:pPr>
      <w:bookmarkStart w:id="2" w:name="_Ref498547584"/>
      <w:r>
        <w:t xml:space="preserve">Figure </w:t>
      </w:r>
      <w:r w:rsidR="00812B08">
        <w:fldChar w:fldCharType="begin"/>
      </w:r>
      <w:r w:rsidR="00812B08">
        <w:instrText xml:space="preserve"> STYLEREF 1 \s </w:instrText>
      </w:r>
      <w:r w:rsidR="00812B08">
        <w:fldChar w:fldCharType="separate"/>
      </w:r>
      <w:r w:rsidR="00812B08">
        <w:rPr>
          <w:noProof/>
        </w:rPr>
        <w:t>2</w:t>
      </w:r>
      <w:r w:rsidR="00812B08">
        <w:fldChar w:fldCharType="end"/>
      </w:r>
      <w:r w:rsidR="00812B08">
        <w:noBreakHyphen/>
      </w:r>
      <w:r w:rsidR="00812B08">
        <w:fldChar w:fldCharType="begin"/>
      </w:r>
      <w:r w:rsidR="00812B08">
        <w:instrText xml:space="preserve"> SEQ Figure \* ARABIC \s 1 </w:instrText>
      </w:r>
      <w:r w:rsidR="00812B08">
        <w:fldChar w:fldCharType="separate"/>
      </w:r>
      <w:r w:rsidR="00812B08">
        <w:rPr>
          <w:noProof/>
        </w:rPr>
        <w:t>1</w:t>
      </w:r>
      <w:r w:rsidR="00812B08">
        <w:fldChar w:fldCharType="end"/>
      </w:r>
      <w:bookmarkEnd w:id="2"/>
      <w:r>
        <w:t xml:space="preserve"> BLER vs SINR for LTE and NR PUCCH</w:t>
      </w:r>
    </w:p>
    <w:p w:rsidR="000A42FF" w:rsidRDefault="000A42FF" w:rsidP="000A42FF">
      <w:pPr>
        <w:rPr>
          <w:lang w:val="en-GB" w:eastAsia="zh-CN"/>
        </w:rPr>
      </w:pPr>
      <w:r>
        <w:rPr>
          <w:lang w:val="en-GB" w:eastAsia="zh-CN"/>
        </w:rPr>
        <w:t xml:space="preserve">The simulation parameters behind these link level simulations are shown in </w:t>
      </w:r>
      <w:r w:rsidR="00D222D5">
        <w:rPr>
          <w:lang w:val="en-GB" w:eastAsia="zh-CN"/>
        </w:rPr>
        <w:fldChar w:fldCharType="begin"/>
      </w:r>
      <w:r w:rsidR="00D222D5">
        <w:rPr>
          <w:lang w:val="en-GB" w:eastAsia="zh-CN"/>
        </w:rPr>
        <w:instrText xml:space="preserve"> REF _Ref498549049 \h </w:instrText>
      </w:r>
      <w:r w:rsidR="00D222D5">
        <w:rPr>
          <w:lang w:val="en-GB" w:eastAsia="zh-CN"/>
        </w:rPr>
      </w:r>
      <w:r w:rsidR="00D222D5">
        <w:rPr>
          <w:lang w:val="en-GB" w:eastAsia="zh-CN"/>
        </w:rPr>
        <w:fldChar w:fldCharType="separate"/>
      </w:r>
      <w:r w:rsidR="00D222D5">
        <w:t xml:space="preserve">Table </w:t>
      </w:r>
      <w:r w:rsidR="00D222D5">
        <w:rPr>
          <w:noProof/>
        </w:rPr>
        <w:t>2</w:t>
      </w:r>
      <w:r w:rsidR="00D222D5">
        <w:noBreakHyphen/>
      </w:r>
      <w:r w:rsidR="00D222D5">
        <w:rPr>
          <w:noProof/>
        </w:rPr>
        <w:t>1</w:t>
      </w:r>
      <w:r w:rsidR="00D222D5">
        <w:rPr>
          <w:lang w:val="en-GB" w:eastAsia="zh-CN"/>
        </w:rPr>
        <w:fldChar w:fldCharType="end"/>
      </w:r>
      <w:r w:rsidR="00D222D5">
        <w:rPr>
          <w:lang w:val="en-GB" w:eastAsia="zh-CN"/>
        </w:rPr>
        <w:t>.</w:t>
      </w:r>
    </w:p>
    <w:p w:rsidR="000A42FF" w:rsidRDefault="000A42FF" w:rsidP="000A42FF">
      <w:pPr>
        <w:rPr>
          <w:lang w:val="en-GB" w:eastAsia="zh-CN"/>
        </w:rPr>
      </w:pPr>
    </w:p>
    <w:tbl>
      <w:tblPr>
        <w:tblW w:w="8977" w:type="dxa"/>
        <w:tblInd w:w="427" w:type="dxa"/>
        <w:tblCellMar>
          <w:left w:w="0" w:type="dxa"/>
          <w:right w:w="0" w:type="dxa"/>
        </w:tblCellMar>
        <w:tblLook w:val="0600" w:firstRow="0" w:lastRow="0" w:firstColumn="0" w:lastColumn="0" w:noHBand="1" w:noVBand="1"/>
      </w:tblPr>
      <w:tblGrid>
        <w:gridCol w:w="2880"/>
        <w:gridCol w:w="6097"/>
      </w:tblGrid>
      <w:tr w:rsidR="004E3DBA" w:rsidRPr="004E3DBA" w:rsidTr="004E3DBA">
        <w:trPr>
          <w:trHeight w:val="458"/>
        </w:trPr>
        <w:tc>
          <w:tcPr>
            <w:tcW w:w="2880" w:type="dxa"/>
            <w:tcBorders>
              <w:top w:val="single" w:sz="18" w:space="0" w:color="009FDB"/>
              <w:left w:val="single" w:sz="18" w:space="0" w:color="009FDB"/>
              <w:bottom w:val="single" w:sz="18" w:space="0" w:color="009FDB"/>
              <w:right w:val="single" w:sz="18" w:space="0" w:color="009FDB"/>
            </w:tcBorders>
            <w:shd w:val="clear" w:color="auto" w:fill="50CFFF"/>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b/>
                <w:bCs/>
                <w:color w:val="44546A" w:themeColor="text2"/>
                <w:kern w:val="24"/>
                <w:szCs w:val="28"/>
              </w:rPr>
              <w:lastRenderedPageBreak/>
              <w:t xml:space="preserve">Assumptions </w:t>
            </w:r>
          </w:p>
        </w:tc>
        <w:tc>
          <w:tcPr>
            <w:tcW w:w="6097" w:type="dxa"/>
            <w:tcBorders>
              <w:top w:val="single" w:sz="18" w:space="0" w:color="009FDB"/>
              <w:left w:val="single" w:sz="18" w:space="0" w:color="009FDB"/>
              <w:bottom w:val="single" w:sz="18" w:space="0" w:color="009FDB"/>
              <w:right w:val="single" w:sz="18" w:space="0" w:color="009FDB"/>
            </w:tcBorders>
            <w:shd w:val="clear" w:color="auto" w:fill="50CFFF"/>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b/>
                <w:bCs/>
                <w:color w:val="44546A" w:themeColor="text2"/>
                <w:kern w:val="24"/>
                <w:szCs w:val="28"/>
              </w:rPr>
              <w:t xml:space="preserve">Value </w:t>
            </w:r>
          </w:p>
        </w:tc>
      </w:tr>
      <w:tr w:rsidR="004E3DBA" w:rsidRPr="004E3DBA" w:rsidTr="004E3DBA">
        <w:trPr>
          <w:trHeight w:val="367"/>
        </w:trPr>
        <w:tc>
          <w:tcPr>
            <w:tcW w:w="2880" w:type="dxa"/>
            <w:tcBorders>
              <w:top w:val="single" w:sz="1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Carrier frequency</w:t>
            </w:r>
          </w:p>
        </w:tc>
        <w:tc>
          <w:tcPr>
            <w:tcW w:w="6097" w:type="dxa"/>
            <w:tcBorders>
              <w:top w:val="single" w:sz="1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2GHz for LTE and 4 GHz for NR</w:t>
            </w:r>
          </w:p>
        </w:tc>
      </w:tr>
      <w:tr w:rsidR="004E3DBA" w:rsidRPr="004E3DBA" w:rsidTr="004E3DBA">
        <w:trPr>
          <w:trHeight w:val="36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 xml:space="preserve">Duplex </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FDD</w:t>
            </w:r>
          </w:p>
        </w:tc>
      </w:tr>
      <w:tr w:rsidR="004E3DBA" w:rsidRPr="004E3DBA" w:rsidTr="004E3DBA">
        <w:trPr>
          <w:trHeight w:val="36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 xml:space="preserve">System Bandwidth </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 xml:space="preserve">10 MHz </w:t>
            </w:r>
          </w:p>
        </w:tc>
      </w:tr>
      <w:tr w:rsidR="004E3DBA" w:rsidRPr="004E3DBA" w:rsidTr="004E3DBA">
        <w:trPr>
          <w:trHeight w:val="36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 xml:space="preserve">Slot length </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1 ms</w:t>
            </w:r>
          </w:p>
        </w:tc>
      </w:tr>
      <w:tr w:rsidR="004E3DBA" w:rsidRPr="004E3DBA" w:rsidTr="004E3DBA">
        <w:trPr>
          <w:trHeight w:val="441"/>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 xml:space="preserve">Subcarrier spacing </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Single numerology case: 15KHz</w:t>
            </w:r>
          </w:p>
        </w:tc>
      </w:tr>
      <w:tr w:rsidR="004E3DBA" w:rsidRPr="004E3DBA" w:rsidTr="004E3DBA">
        <w:trPr>
          <w:trHeight w:val="36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 xml:space="preserve">FFT size </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1024 for 15KHz subcarrier spacing</w:t>
            </w:r>
          </w:p>
        </w:tc>
      </w:tr>
      <w:tr w:rsidR="004E3DBA" w:rsidRPr="004E3DBA" w:rsidTr="004E3DBA">
        <w:trPr>
          <w:trHeight w:val="490"/>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jc w:val="left"/>
              <w:rPr>
                <w:rFonts w:ascii="Arial" w:hAnsi="Arial" w:cs="Arial"/>
                <w:szCs w:val="36"/>
              </w:rPr>
            </w:pPr>
            <w:r w:rsidRPr="004E3DBA">
              <w:rPr>
                <w:rFonts w:eastAsia="Malgun Gothic"/>
                <w:color w:val="44546A" w:themeColor="text2"/>
                <w:kern w:val="24"/>
                <w:szCs w:val="24"/>
              </w:rPr>
              <w:t>Channel model</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TDL-A, 3 Km/hr</w:t>
            </w:r>
          </w:p>
        </w:tc>
      </w:tr>
      <w:tr w:rsidR="004E3DBA" w:rsidRPr="004E3DBA" w:rsidTr="004E3DBA">
        <w:trPr>
          <w:trHeight w:val="36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UE Antenna Configuration.</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1Tx for NR and LTE</w:t>
            </w:r>
          </w:p>
        </w:tc>
      </w:tr>
      <w:tr w:rsidR="004E3DBA" w:rsidRPr="004E3DBA" w:rsidTr="004E3DBA">
        <w:trPr>
          <w:trHeight w:val="36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eastAsia="Malgun Gothic"/>
                <w:color w:val="44546A" w:themeColor="text2"/>
                <w:kern w:val="24"/>
                <w:szCs w:val="24"/>
              </w:rPr>
              <w:t>gNB Antenna Configuration</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eastAsia="Malgun Gothic"/>
                <w:color w:val="44546A" w:themeColor="text2"/>
                <w:kern w:val="24"/>
                <w:szCs w:val="24"/>
              </w:rPr>
              <w:t xml:space="preserve">4Rx for NR (@ 4GHz) </w:t>
            </w:r>
          </w:p>
          <w:p w:rsidR="004E3DBA" w:rsidRPr="004E3DBA" w:rsidRDefault="004E3DBA" w:rsidP="004E3DBA">
            <w:pPr>
              <w:spacing w:before="0" w:after="0" w:line="276" w:lineRule="auto"/>
              <w:rPr>
                <w:rFonts w:ascii="Arial" w:hAnsi="Arial" w:cs="Arial"/>
                <w:szCs w:val="36"/>
              </w:rPr>
            </w:pPr>
            <w:r w:rsidRPr="004E3DBA">
              <w:rPr>
                <w:rFonts w:eastAsia="Malgun Gothic"/>
                <w:color w:val="44546A" w:themeColor="text2"/>
                <w:kern w:val="24"/>
                <w:szCs w:val="24"/>
              </w:rPr>
              <w:t>2Rx for LTE (@ 2GHz)</w:t>
            </w:r>
          </w:p>
        </w:tc>
      </w:tr>
      <w:tr w:rsidR="004E3DBA" w:rsidRPr="004E3DBA" w:rsidTr="004E3DBA">
        <w:trPr>
          <w:trHeight w:val="36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Rank per UE</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Fixed rank</w:t>
            </w:r>
          </w:p>
        </w:tc>
      </w:tr>
      <w:tr w:rsidR="004E3DBA" w:rsidRPr="004E3DBA" w:rsidTr="004E3DBA">
        <w:trPr>
          <w:trHeight w:val="36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eastAsia="Malgun Gothic"/>
                <w:color w:val="44546A" w:themeColor="text2"/>
                <w:kern w:val="24"/>
                <w:szCs w:val="24"/>
              </w:rPr>
              <w:t>PUCCH Format</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eastAsia="Malgun Gothic"/>
                <w:color w:val="44546A" w:themeColor="text2"/>
                <w:kern w:val="24"/>
                <w:szCs w:val="24"/>
              </w:rPr>
              <w:t>NR: Format 1 for HARQ feedback and Format 3 for CSI Feedback</w:t>
            </w:r>
          </w:p>
          <w:p w:rsidR="004E3DBA" w:rsidRPr="004E3DBA" w:rsidRDefault="004E3DBA" w:rsidP="004E3DBA">
            <w:pPr>
              <w:spacing w:before="0" w:after="0" w:line="276" w:lineRule="auto"/>
              <w:rPr>
                <w:rFonts w:ascii="Arial" w:hAnsi="Arial" w:cs="Arial"/>
                <w:szCs w:val="36"/>
              </w:rPr>
            </w:pPr>
            <w:r w:rsidRPr="004E3DBA">
              <w:rPr>
                <w:rFonts w:eastAsia="Malgun Gothic"/>
                <w:color w:val="44546A" w:themeColor="text2"/>
                <w:kern w:val="24"/>
                <w:szCs w:val="24"/>
              </w:rPr>
              <w:t>LTE: Format 1b for HARQ feedback and Format 2 for CSI Feedback</w:t>
            </w:r>
          </w:p>
        </w:tc>
      </w:tr>
      <w:tr w:rsidR="00EC5230" w:rsidRPr="004E3DBA" w:rsidTr="004E3DBA">
        <w:trPr>
          <w:trHeight w:val="36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tcPr>
          <w:p w:rsidR="00EC5230" w:rsidRPr="004E3DBA" w:rsidRDefault="00EC5230" w:rsidP="004E3DBA">
            <w:pPr>
              <w:spacing w:before="0" w:after="0" w:line="276" w:lineRule="auto"/>
              <w:rPr>
                <w:rFonts w:eastAsia="Malgun Gothic"/>
                <w:color w:val="44546A" w:themeColor="text2"/>
                <w:kern w:val="24"/>
                <w:szCs w:val="24"/>
              </w:rPr>
            </w:pPr>
            <w:r>
              <w:rPr>
                <w:rFonts w:eastAsia="Malgun Gothic"/>
                <w:color w:val="44546A" w:themeColor="text2"/>
                <w:kern w:val="24"/>
                <w:szCs w:val="24"/>
              </w:rPr>
              <w:t>PUCCH Payload</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tcPr>
          <w:p w:rsidR="00EC5230" w:rsidRDefault="00EC5230" w:rsidP="004E3DBA">
            <w:pPr>
              <w:spacing w:before="0" w:after="0" w:line="276" w:lineRule="auto"/>
              <w:rPr>
                <w:rFonts w:eastAsia="Malgun Gothic"/>
                <w:color w:val="44546A" w:themeColor="text2"/>
                <w:kern w:val="24"/>
                <w:szCs w:val="24"/>
              </w:rPr>
            </w:pPr>
            <w:r>
              <w:rPr>
                <w:rFonts w:eastAsia="Malgun Gothic"/>
                <w:color w:val="44546A" w:themeColor="text2"/>
                <w:kern w:val="24"/>
                <w:szCs w:val="24"/>
              </w:rPr>
              <w:t xml:space="preserve">2 bits for HARQ feedback </w:t>
            </w:r>
          </w:p>
          <w:p w:rsidR="00EC5230" w:rsidRPr="004E3DBA" w:rsidRDefault="00EC5230" w:rsidP="004E3DBA">
            <w:pPr>
              <w:spacing w:before="0" w:after="0" w:line="276" w:lineRule="auto"/>
              <w:rPr>
                <w:rFonts w:eastAsia="Malgun Gothic"/>
                <w:color w:val="44546A" w:themeColor="text2"/>
                <w:kern w:val="24"/>
                <w:szCs w:val="24"/>
              </w:rPr>
            </w:pPr>
            <w:r>
              <w:rPr>
                <w:rFonts w:eastAsia="Malgun Gothic"/>
                <w:color w:val="44546A" w:themeColor="text2"/>
                <w:kern w:val="24"/>
                <w:szCs w:val="24"/>
              </w:rPr>
              <w:t>[X] bits for CSI feedback</w:t>
            </w:r>
          </w:p>
        </w:tc>
      </w:tr>
      <w:tr w:rsidR="004E3DBA" w:rsidRPr="004E3DBA" w:rsidTr="004E3DBA">
        <w:trPr>
          <w:trHeight w:val="36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 xml:space="preserve">MCS </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eastAsia="Malgun Gothic"/>
                <w:color w:val="44546A" w:themeColor="text2"/>
                <w:kern w:val="24"/>
                <w:szCs w:val="24"/>
              </w:rPr>
              <w:t xml:space="preserve">NR: p/2 BPSK </w:t>
            </w:r>
          </w:p>
          <w:p w:rsidR="004E3DBA" w:rsidRPr="004E3DBA" w:rsidRDefault="004E3DBA" w:rsidP="004E3DBA">
            <w:pPr>
              <w:spacing w:before="0" w:after="0" w:line="276" w:lineRule="auto"/>
              <w:rPr>
                <w:rFonts w:ascii="Arial" w:hAnsi="Arial" w:cs="Arial"/>
                <w:szCs w:val="36"/>
              </w:rPr>
            </w:pPr>
            <w:r w:rsidRPr="004E3DBA">
              <w:rPr>
                <w:rFonts w:eastAsia="Malgun Gothic"/>
                <w:color w:val="44546A" w:themeColor="text2"/>
                <w:kern w:val="24"/>
                <w:szCs w:val="24"/>
              </w:rPr>
              <w:t>LTE: QPSK</w:t>
            </w:r>
          </w:p>
        </w:tc>
      </w:tr>
      <w:tr w:rsidR="004E3DBA" w:rsidRPr="004E3DBA" w:rsidTr="004E3DBA">
        <w:trPr>
          <w:trHeight w:val="40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eastAsia="Malgun Gothic"/>
                <w:color w:val="44546A" w:themeColor="text2"/>
                <w:kern w:val="24"/>
                <w:szCs w:val="24"/>
              </w:rPr>
              <w:t>DM-RS</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eastAsia="Malgun Gothic"/>
                <w:color w:val="44546A" w:themeColor="text2"/>
                <w:kern w:val="24"/>
                <w:szCs w:val="24"/>
              </w:rPr>
              <w:t>According to the specification – QPSK modulated</w:t>
            </w:r>
          </w:p>
        </w:tc>
      </w:tr>
      <w:tr w:rsidR="00802376" w:rsidRPr="004E3DBA" w:rsidTr="004E3DBA">
        <w:trPr>
          <w:trHeight w:val="40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tcPr>
          <w:p w:rsidR="00802376" w:rsidRPr="004E3DBA" w:rsidRDefault="00802376" w:rsidP="004E3DBA">
            <w:pPr>
              <w:spacing w:before="0" w:after="0" w:line="276" w:lineRule="auto"/>
              <w:rPr>
                <w:rFonts w:eastAsia="Malgun Gothic"/>
                <w:color w:val="44546A" w:themeColor="text2"/>
                <w:kern w:val="24"/>
                <w:szCs w:val="24"/>
              </w:rPr>
            </w:pPr>
            <w:r>
              <w:rPr>
                <w:rFonts w:eastAsia="Malgun Gothic"/>
                <w:color w:val="44546A" w:themeColor="text2"/>
                <w:kern w:val="24"/>
                <w:szCs w:val="24"/>
              </w:rPr>
              <w:t>Transmission BW</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tcPr>
          <w:p w:rsidR="00802376" w:rsidRPr="004E3DBA" w:rsidRDefault="00802376" w:rsidP="004E3DBA">
            <w:pPr>
              <w:spacing w:before="0" w:after="0" w:line="276" w:lineRule="auto"/>
              <w:rPr>
                <w:rFonts w:eastAsia="Malgun Gothic"/>
                <w:color w:val="44546A" w:themeColor="text2"/>
                <w:kern w:val="24"/>
                <w:szCs w:val="24"/>
              </w:rPr>
            </w:pPr>
            <w:r>
              <w:rPr>
                <w:rFonts w:eastAsia="Malgun Gothic"/>
                <w:color w:val="44546A" w:themeColor="text2"/>
                <w:kern w:val="24"/>
                <w:szCs w:val="24"/>
              </w:rPr>
              <w:t>1 PRB (PUCCH)</w:t>
            </w:r>
          </w:p>
        </w:tc>
      </w:tr>
      <w:tr w:rsidR="004E3DBA" w:rsidRPr="004E3DBA" w:rsidTr="004E3DBA">
        <w:trPr>
          <w:trHeight w:val="367"/>
        </w:trPr>
        <w:tc>
          <w:tcPr>
            <w:tcW w:w="2880"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cs="Arial"/>
                <w:color w:val="44546A" w:themeColor="text2"/>
                <w:kern w:val="24"/>
                <w:szCs w:val="24"/>
              </w:rPr>
              <w:t xml:space="preserve">Channel estimation </w:t>
            </w:r>
          </w:p>
        </w:tc>
        <w:tc>
          <w:tcPr>
            <w:tcW w:w="6097" w:type="dxa"/>
            <w:tcBorders>
              <w:top w:val="single" w:sz="8" w:space="0" w:color="009FDB"/>
              <w:left w:val="single" w:sz="8" w:space="0" w:color="009FDB"/>
              <w:bottom w:val="single" w:sz="8" w:space="0" w:color="009FDB"/>
              <w:right w:val="single" w:sz="8" w:space="0" w:color="009FDB"/>
            </w:tcBorders>
            <w:shd w:val="clear" w:color="auto" w:fill="auto"/>
            <w:tcMar>
              <w:top w:w="11" w:type="dxa"/>
              <w:left w:w="46" w:type="dxa"/>
              <w:bottom w:w="0" w:type="dxa"/>
              <w:right w:w="46" w:type="dxa"/>
            </w:tcMar>
            <w:vAlign w:val="center"/>
            <w:hideMark/>
          </w:tcPr>
          <w:p w:rsidR="004E3DBA" w:rsidRPr="004E3DBA" w:rsidRDefault="004E3DBA" w:rsidP="004E3DBA">
            <w:pPr>
              <w:spacing w:before="0" w:after="0" w:line="276" w:lineRule="auto"/>
              <w:rPr>
                <w:rFonts w:ascii="Arial" w:hAnsi="Arial" w:cs="Arial"/>
                <w:szCs w:val="36"/>
              </w:rPr>
            </w:pPr>
            <w:r w:rsidRPr="004E3DBA">
              <w:rPr>
                <w:rFonts w:asciiTheme="minorHAnsi" w:eastAsiaTheme="minorEastAsia" w:cstheme="minorBidi"/>
                <w:color w:val="44546A" w:themeColor="text2"/>
                <w:kern w:val="24"/>
                <w:szCs w:val="24"/>
              </w:rPr>
              <w:t>Real Channel Estimator (MMSE estimator)</w:t>
            </w:r>
          </w:p>
        </w:tc>
      </w:tr>
    </w:tbl>
    <w:p w:rsidR="00EC5230" w:rsidRDefault="00EC5230" w:rsidP="00EC5230">
      <w:pPr>
        <w:pStyle w:val="Caption"/>
      </w:pPr>
      <w:bookmarkStart w:id="3" w:name="_Ref498549049"/>
      <w:r>
        <w:t xml:space="preserve">Table </w:t>
      </w:r>
      <w:r w:rsidR="000720E4">
        <w:fldChar w:fldCharType="begin"/>
      </w:r>
      <w:r w:rsidR="000720E4">
        <w:instrText xml:space="preserve"> STYLEREF 1 \s </w:instrText>
      </w:r>
      <w:r w:rsidR="000720E4">
        <w:fldChar w:fldCharType="separate"/>
      </w:r>
      <w:r w:rsidR="000720E4">
        <w:rPr>
          <w:noProof/>
        </w:rPr>
        <w:t>2</w:t>
      </w:r>
      <w:r w:rsidR="000720E4">
        <w:fldChar w:fldCharType="end"/>
      </w:r>
      <w:r w:rsidR="000720E4">
        <w:noBreakHyphen/>
      </w:r>
      <w:r w:rsidR="000720E4">
        <w:fldChar w:fldCharType="begin"/>
      </w:r>
      <w:r w:rsidR="000720E4">
        <w:instrText xml:space="preserve"> SEQ Table \* ARABIC \s 1 </w:instrText>
      </w:r>
      <w:r w:rsidR="000720E4">
        <w:fldChar w:fldCharType="separate"/>
      </w:r>
      <w:r w:rsidR="000720E4">
        <w:rPr>
          <w:noProof/>
        </w:rPr>
        <w:t>1</w:t>
      </w:r>
      <w:r w:rsidR="000720E4">
        <w:fldChar w:fldCharType="end"/>
      </w:r>
      <w:bookmarkEnd w:id="3"/>
      <w:r>
        <w:t xml:space="preserve"> Link Simulation Parameters</w:t>
      </w:r>
    </w:p>
    <w:p w:rsidR="00EC5230" w:rsidRDefault="00EC5230" w:rsidP="00EC5230">
      <w:pPr>
        <w:rPr>
          <w:lang w:val="en-GB" w:eastAsia="zh-CN"/>
        </w:rPr>
      </w:pPr>
      <w:r>
        <w:rPr>
          <w:lang w:val="en-GB" w:eastAsia="zh-CN"/>
        </w:rPr>
        <w:t>For the purposes of this analysis we assume the PUCCH coverage is defined by the 1% BLER point. Therefore based on the link simulations we can make the following observation on improvement on UL system gain for PUCCH (i.e. UL coverage)</w:t>
      </w:r>
    </w:p>
    <w:p w:rsidR="00EC5230" w:rsidRPr="00EC5230" w:rsidRDefault="00EC5230" w:rsidP="00EC5230">
      <w:pPr>
        <w:spacing w:before="0" w:after="0"/>
        <w:rPr>
          <w:b/>
          <w:lang w:val="en-GB" w:eastAsia="zh-CN"/>
        </w:rPr>
      </w:pPr>
      <w:r w:rsidRPr="00EC5230">
        <w:rPr>
          <w:b/>
          <w:lang w:val="en-GB" w:eastAsia="zh-CN"/>
        </w:rPr>
        <w:t>Observation 1: For UCI greater than 2 bits (e.g CSI feedback) we see the following improvement on the system gain of the NR PUCCH relative to the LTE PUCCH:</w:t>
      </w:r>
    </w:p>
    <w:p w:rsidR="00EC5230" w:rsidRPr="00EC5230" w:rsidRDefault="00EC5230" w:rsidP="00EC5230">
      <w:pPr>
        <w:pStyle w:val="ListParagraph"/>
        <w:numPr>
          <w:ilvl w:val="0"/>
          <w:numId w:val="29"/>
        </w:numPr>
        <w:spacing w:before="0" w:after="0"/>
        <w:rPr>
          <w:b/>
          <w:lang w:val="en-GB" w:eastAsia="zh-CN"/>
        </w:rPr>
      </w:pPr>
      <w:r w:rsidRPr="00EC5230">
        <w:rPr>
          <w:b/>
          <w:lang w:val="en-GB" w:eastAsia="zh-CN"/>
        </w:rPr>
        <w:t xml:space="preserve">1 slot PUCCH: 3.1 dB </w:t>
      </w:r>
    </w:p>
    <w:p w:rsidR="00EC5230" w:rsidRPr="00EC5230" w:rsidRDefault="00EC5230" w:rsidP="00EC5230">
      <w:pPr>
        <w:pStyle w:val="ListParagraph"/>
        <w:numPr>
          <w:ilvl w:val="0"/>
          <w:numId w:val="29"/>
        </w:numPr>
        <w:rPr>
          <w:b/>
          <w:lang w:val="en-GB" w:eastAsia="zh-CN"/>
        </w:rPr>
      </w:pPr>
      <w:r w:rsidRPr="00EC5230">
        <w:rPr>
          <w:b/>
          <w:lang w:val="en-GB" w:eastAsia="zh-CN"/>
        </w:rPr>
        <w:t>2 slot PUCCH: 5.8 dB</w:t>
      </w:r>
    </w:p>
    <w:p w:rsidR="00EC5230" w:rsidRPr="00EC5230" w:rsidRDefault="00EC5230" w:rsidP="00EC5230">
      <w:pPr>
        <w:pStyle w:val="ListParagraph"/>
        <w:numPr>
          <w:ilvl w:val="0"/>
          <w:numId w:val="29"/>
        </w:numPr>
        <w:rPr>
          <w:b/>
          <w:lang w:val="en-GB" w:eastAsia="zh-CN"/>
        </w:rPr>
      </w:pPr>
      <w:r w:rsidRPr="00EC5230">
        <w:rPr>
          <w:b/>
          <w:lang w:val="en-GB" w:eastAsia="zh-CN"/>
        </w:rPr>
        <w:t>4 slot PUCCH: 8 dB</w:t>
      </w:r>
    </w:p>
    <w:p w:rsidR="00EC5230" w:rsidRPr="00EC5230" w:rsidRDefault="00EC5230" w:rsidP="00EC5230">
      <w:pPr>
        <w:spacing w:before="0" w:after="0"/>
        <w:rPr>
          <w:b/>
          <w:lang w:val="en-GB" w:eastAsia="zh-CN"/>
        </w:rPr>
      </w:pPr>
      <w:r w:rsidRPr="00EC5230">
        <w:rPr>
          <w:b/>
          <w:lang w:val="en-GB" w:eastAsia="zh-CN"/>
        </w:rPr>
        <w:t>Observation 2: For UCI less than equal to 2 bits (e.g CSI feedback) we see the following improvement on the system gain of the NR PUCCH relative to the LTE PUCCH:</w:t>
      </w:r>
    </w:p>
    <w:p w:rsidR="00EC5230" w:rsidRPr="00EC5230" w:rsidRDefault="00EC5230" w:rsidP="00EC5230">
      <w:pPr>
        <w:pStyle w:val="ListParagraph"/>
        <w:numPr>
          <w:ilvl w:val="0"/>
          <w:numId w:val="29"/>
        </w:numPr>
        <w:spacing w:before="0" w:after="0"/>
        <w:rPr>
          <w:b/>
          <w:lang w:val="en-GB" w:eastAsia="zh-CN"/>
        </w:rPr>
      </w:pPr>
      <w:r w:rsidRPr="00EC5230">
        <w:rPr>
          <w:b/>
          <w:lang w:val="en-GB" w:eastAsia="zh-CN"/>
        </w:rPr>
        <w:t xml:space="preserve">1 slot PUCCH: 4.2 dB </w:t>
      </w:r>
    </w:p>
    <w:p w:rsidR="00EC5230" w:rsidRPr="00EC5230" w:rsidRDefault="00EC5230" w:rsidP="00EC5230">
      <w:pPr>
        <w:pStyle w:val="ListParagraph"/>
        <w:numPr>
          <w:ilvl w:val="0"/>
          <w:numId w:val="29"/>
        </w:numPr>
        <w:rPr>
          <w:b/>
          <w:lang w:val="en-GB" w:eastAsia="zh-CN"/>
        </w:rPr>
      </w:pPr>
      <w:r w:rsidRPr="00EC5230">
        <w:rPr>
          <w:b/>
          <w:lang w:val="en-GB" w:eastAsia="zh-CN"/>
        </w:rPr>
        <w:t>2 slot PUCCH: 6.2 dB</w:t>
      </w:r>
    </w:p>
    <w:p w:rsidR="00EC5230" w:rsidRPr="00D222D5" w:rsidRDefault="00EC5230" w:rsidP="00EC5230">
      <w:pPr>
        <w:pStyle w:val="ListParagraph"/>
        <w:numPr>
          <w:ilvl w:val="0"/>
          <w:numId w:val="29"/>
        </w:numPr>
        <w:rPr>
          <w:b/>
          <w:lang w:val="en-GB" w:eastAsia="zh-CN"/>
        </w:rPr>
      </w:pPr>
      <w:r w:rsidRPr="00EC5230">
        <w:rPr>
          <w:b/>
          <w:lang w:val="en-GB" w:eastAsia="zh-CN"/>
        </w:rPr>
        <w:t>4 slot PUCCH: 8.6 dB</w:t>
      </w:r>
    </w:p>
    <w:p w:rsidR="00EC5230" w:rsidRDefault="00D222D5" w:rsidP="00D222D5">
      <w:pPr>
        <w:pStyle w:val="Heading2"/>
        <w:rPr>
          <w:lang w:val="en-GB" w:eastAsia="zh-CN"/>
        </w:rPr>
      </w:pPr>
      <w:r>
        <w:rPr>
          <w:lang w:val="en-GB" w:eastAsia="zh-CN"/>
        </w:rPr>
        <w:t>Coverage Analysis of for Dynamic and Static Power Sharing</w:t>
      </w:r>
    </w:p>
    <w:p w:rsidR="00347C79" w:rsidRDefault="00347C79" w:rsidP="00347C79">
      <w:pPr>
        <w:rPr>
          <w:lang w:val="en-GB" w:eastAsia="zh-CN"/>
        </w:rPr>
      </w:pPr>
      <w:r>
        <w:rPr>
          <w:lang w:val="en-GB" w:eastAsia="zh-CN"/>
        </w:rPr>
        <w:t>In the previous section we showed the improvement on the NR PUCCH coverage relative to LTE PUCCH however this does not directly translate to improved range. Since in the scenario depicted here NR is deployed in the 4GHz band and LTE is deployed in the 2GHz band therefore one needs to take into account the difference in the frequency dependent loss in these two bands</w:t>
      </w:r>
      <w:r w:rsidR="00344C79">
        <w:rPr>
          <w:lang w:val="en-GB" w:eastAsia="zh-CN"/>
        </w:rPr>
        <w:t xml:space="preserve"> which is an additional 6dB</w:t>
      </w:r>
      <w:r>
        <w:rPr>
          <w:lang w:val="en-GB" w:eastAsia="zh-CN"/>
        </w:rPr>
        <w:t xml:space="preserve">. Assuming all else being equal the following table shows the coverage impact </w:t>
      </w:r>
      <w:r w:rsidR="00344C79">
        <w:rPr>
          <w:lang w:val="en-GB" w:eastAsia="zh-CN"/>
        </w:rPr>
        <w:t xml:space="preserve">of a semi-static power sharing relative to baseline, which is LTE ONLY coverage. </w:t>
      </w:r>
    </w:p>
    <w:p w:rsidR="000720E4" w:rsidRDefault="000720E4" w:rsidP="00347C79">
      <w:pPr>
        <w:rPr>
          <w:lang w:val="en-GB" w:eastAsia="zh-CN"/>
        </w:rPr>
      </w:pPr>
    </w:p>
    <w:tbl>
      <w:tblPr>
        <w:tblW w:w="8367" w:type="dxa"/>
        <w:tblInd w:w="800" w:type="dxa"/>
        <w:tblLook w:val="04A0" w:firstRow="1" w:lastRow="0" w:firstColumn="1" w:lastColumn="0" w:noHBand="0" w:noVBand="1"/>
      </w:tblPr>
      <w:tblGrid>
        <w:gridCol w:w="1329"/>
        <w:gridCol w:w="1180"/>
        <w:gridCol w:w="1180"/>
        <w:gridCol w:w="1180"/>
        <w:gridCol w:w="1180"/>
        <w:gridCol w:w="1340"/>
        <w:gridCol w:w="978"/>
      </w:tblGrid>
      <w:tr w:rsidR="000720E4" w:rsidRPr="000720E4" w:rsidTr="000720E4">
        <w:trPr>
          <w:trHeight w:val="470"/>
        </w:trPr>
        <w:tc>
          <w:tcPr>
            <w:tcW w:w="1329" w:type="dxa"/>
            <w:tcBorders>
              <w:top w:val="single" w:sz="8" w:space="0" w:color="auto"/>
              <w:left w:val="single" w:sz="8" w:space="0" w:color="auto"/>
              <w:bottom w:val="single" w:sz="4" w:space="0" w:color="auto"/>
              <w:right w:val="single" w:sz="4" w:space="0" w:color="auto"/>
            </w:tcBorders>
            <w:shd w:val="clear" w:color="000000" w:fill="9BC2E6"/>
            <w:hideMark/>
          </w:tcPr>
          <w:p w:rsidR="000720E4" w:rsidRPr="000720E4" w:rsidRDefault="000720E4" w:rsidP="000720E4">
            <w:pPr>
              <w:spacing w:before="0" w:after="0"/>
              <w:jc w:val="center"/>
              <w:rPr>
                <w:color w:val="000000"/>
                <w:szCs w:val="16"/>
              </w:rPr>
            </w:pPr>
            <w:r w:rsidRPr="000720E4">
              <w:rPr>
                <w:color w:val="000000"/>
                <w:szCs w:val="16"/>
              </w:rPr>
              <w:t>NR PUCCH Configuration</w:t>
            </w:r>
          </w:p>
        </w:tc>
        <w:tc>
          <w:tcPr>
            <w:tcW w:w="1180" w:type="dxa"/>
            <w:tcBorders>
              <w:top w:val="single" w:sz="8" w:space="0" w:color="auto"/>
              <w:left w:val="nil"/>
              <w:bottom w:val="single" w:sz="4" w:space="0" w:color="auto"/>
              <w:right w:val="single" w:sz="4" w:space="0" w:color="auto"/>
            </w:tcBorders>
            <w:shd w:val="clear" w:color="000000" w:fill="9BC2E6"/>
            <w:hideMark/>
          </w:tcPr>
          <w:p w:rsidR="000720E4" w:rsidRDefault="000720E4" w:rsidP="000720E4">
            <w:pPr>
              <w:spacing w:before="0" w:after="0"/>
              <w:jc w:val="center"/>
              <w:rPr>
                <w:color w:val="000000"/>
                <w:sz w:val="22"/>
                <w:szCs w:val="16"/>
              </w:rPr>
            </w:pPr>
            <w:r w:rsidRPr="000720E4">
              <w:rPr>
                <w:rFonts w:ascii="Symbol" w:hAnsi="Symbol"/>
                <w:color w:val="000000"/>
                <w:szCs w:val="16"/>
              </w:rPr>
              <w:t></w:t>
            </w:r>
            <w:r w:rsidRPr="000720E4">
              <w:rPr>
                <w:color w:val="000000"/>
                <w:szCs w:val="16"/>
              </w:rPr>
              <w:t xml:space="preserve"> System Gain</w:t>
            </w:r>
          </w:p>
          <w:p w:rsidR="000720E4" w:rsidRPr="000720E4" w:rsidRDefault="000720E4" w:rsidP="000720E4">
            <w:pPr>
              <w:spacing w:before="0" w:after="0"/>
              <w:jc w:val="center"/>
              <w:rPr>
                <w:color w:val="000000"/>
                <w:szCs w:val="16"/>
              </w:rPr>
            </w:pPr>
            <w:r>
              <w:rPr>
                <w:color w:val="000000"/>
                <w:sz w:val="22"/>
                <w:szCs w:val="16"/>
              </w:rPr>
              <w:t>(dB)</w:t>
            </w:r>
            <w:r w:rsidRPr="000720E4">
              <w:rPr>
                <w:color w:val="000000"/>
                <w:szCs w:val="16"/>
              </w:rPr>
              <w:t xml:space="preserve"> </w:t>
            </w:r>
          </w:p>
        </w:tc>
        <w:tc>
          <w:tcPr>
            <w:tcW w:w="1180" w:type="dxa"/>
            <w:tcBorders>
              <w:top w:val="single" w:sz="8" w:space="0" w:color="auto"/>
              <w:left w:val="nil"/>
              <w:bottom w:val="single" w:sz="4" w:space="0" w:color="auto"/>
              <w:right w:val="single" w:sz="4" w:space="0" w:color="auto"/>
            </w:tcBorders>
            <w:shd w:val="clear" w:color="000000" w:fill="9BC2E6"/>
            <w:hideMark/>
          </w:tcPr>
          <w:p w:rsidR="000720E4" w:rsidRPr="000720E4" w:rsidRDefault="000720E4" w:rsidP="000720E4">
            <w:pPr>
              <w:spacing w:before="0" w:after="0"/>
              <w:jc w:val="center"/>
              <w:rPr>
                <w:color w:val="000000"/>
                <w:szCs w:val="16"/>
              </w:rPr>
            </w:pPr>
            <w:r w:rsidRPr="000720E4">
              <w:rPr>
                <w:rFonts w:ascii="Symbol" w:hAnsi="Symbol"/>
                <w:color w:val="000000"/>
                <w:szCs w:val="16"/>
              </w:rPr>
              <w:t></w:t>
            </w:r>
            <w:r w:rsidRPr="000720E4">
              <w:rPr>
                <w:color w:val="000000"/>
                <w:szCs w:val="16"/>
              </w:rPr>
              <w:t xml:space="preserve"> System Gain </w:t>
            </w:r>
            <w:r>
              <w:rPr>
                <w:color w:val="000000"/>
                <w:szCs w:val="16"/>
              </w:rPr>
              <w:t>(dB)</w:t>
            </w:r>
            <w:r w:rsidRPr="000720E4">
              <w:rPr>
                <w:color w:val="000000"/>
                <w:szCs w:val="16"/>
              </w:rPr>
              <w:br/>
              <w:t>(effective)</w:t>
            </w:r>
          </w:p>
        </w:tc>
        <w:tc>
          <w:tcPr>
            <w:tcW w:w="1180" w:type="dxa"/>
            <w:tcBorders>
              <w:top w:val="single" w:sz="8" w:space="0" w:color="auto"/>
              <w:left w:val="nil"/>
              <w:bottom w:val="single" w:sz="4" w:space="0" w:color="auto"/>
              <w:right w:val="single" w:sz="4" w:space="0" w:color="auto"/>
            </w:tcBorders>
            <w:shd w:val="clear" w:color="000000" w:fill="9BC2E6"/>
            <w:noWrap/>
            <w:hideMark/>
          </w:tcPr>
          <w:p w:rsidR="000720E4" w:rsidRDefault="000720E4" w:rsidP="000720E4">
            <w:pPr>
              <w:spacing w:before="0" w:after="0"/>
              <w:jc w:val="center"/>
              <w:rPr>
                <w:color w:val="000000"/>
                <w:szCs w:val="16"/>
              </w:rPr>
            </w:pPr>
            <w:r w:rsidRPr="000720E4">
              <w:rPr>
                <w:color w:val="000000"/>
                <w:szCs w:val="16"/>
              </w:rPr>
              <w:t>P_LTE</w:t>
            </w:r>
          </w:p>
          <w:p w:rsidR="000720E4" w:rsidRPr="000720E4" w:rsidRDefault="000720E4" w:rsidP="000720E4">
            <w:pPr>
              <w:spacing w:before="0" w:after="0"/>
              <w:jc w:val="center"/>
              <w:rPr>
                <w:color w:val="000000"/>
                <w:szCs w:val="16"/>
              </w:rPr>
            </w:pPr>
            <w:r>
              <w:rPr>
                <w:color w:val="000000"/>
                <w:szCs w:val="16"/>
              </w:rPr>
              <w:t>(dB)</w:t>
            </w:r>
          </w:p>
        </w:tc>
        <w:tc>
          <w:tcPr>
            <w:tcW w:w="1180" w:type="dxa"/>
            <w:tcBorders>
              <w:top w:val="single" w:sz="8" w:space="0" w:color="auto"/>
              <w:left w:val="nil"/>
              <w:bottom w:val="single" w:sz="4" w:space="0" w:color="auto"/>
              <w:right w:val="single" w:sz="4" w:space="0" w:color="auto"/>
            </w:tcBorders>
            <w:shd w:val="clear" w:color="000000" w:fill="9BC2E6"/>
            <w:noWrap/>
            <w:hideMark/>
          </w:tcPr>
          <w:p w:rsidR="000720E4" w:rsidRDefault="000720E4" w:rsidP="000720E4">
            <w:pPr>
              <w:spacing w:before="0" w:after="0"/>
              <w:jc w:val="center"/>
              <w:rPr>
                <w:color w:val="000000"/>
                <w:szCs w:val="16"/>
              </w:rPr>
            </w:pPr>
            <w:r w:rsidRPr="000720E4">
              <w:rPr>
                <w:color w:val="000000"/>
                <w:szCs w:val="16"/>
              </w:rPr>
              <w:t>P_NR</w:t>
            </w:r>
          </w:p>
          <w:p w:rsidR="000720E4" w:rsidRPr="000720E4" w:rsidRDefault="000720E4" w:rsidP="000720E4">
            <w:pPr>
              <w:spacing w:before="0" w:after="0"/>
              <w:jc w:val="center"/>
              <w:rPr>
                <w:color w:val="000000"/>
                <w:szCs w:val="16"/>
              </w:rPr>
            </w:pPr>
            <w:r>
              <w:rPr>
                <w:color w:val="000000"/>
                <w:szCs w:val="16"/>
              </w:rPr>
              <w:t>(dB)</w:t>
            </w:r>
          </w:p>
        </w:tc>
        <w:tc>
          <w:tcPr>
            <w:tcW w:w="1340" w:type="dxa"/>
            <w:tcBorders>
              <w:top w:val="single" w:sz="8" w:space="0" w:color="auto"/>
              <w:left w:val="nil"/>
              <w:bottom w:val="single" w:sz="4" w:space="0" w:color="auto"/>
              <w:right w:val="single" w:sz="4" w:space="0" w:color="auto"/>
            </w:tcBorders>
            <w:shd w:val="clear" w:color="000000" w:fill="9BC2E6"/>
            <w:hideMark/>
          </w:tcPr>
          <w:p w:rsidR="000720E4" w:rsidRPr="000720E4" w:rsidRDefault="000720E4" w:rsidP="000720E4">
            <w:pPr>
              <w:spacing w:before="0" w:after="0"/>
              <w:jc w:val="center"/>
              <w:rPr>
                <w:color w:val="000000"/>
                <w:szCs w:val="16"/>
              </w:rPr>
            </w:pPr>
            <w:r w:rsidRPr="000720E4">
              <w:rPr>
                <w:rFonts w:ascii="Symbol" w:hAnsi="Symbol"/>
                <w:color w:val="000000"/>
                <w:szCs w:val="16"/>
              </w:rPr>
              <w:t></w:t>
            </w:r>
            <w:r w:rsidRPr="000720E4">
              <w:rPr>
                <w:color w:val="000000"/>
                <w:szCs w:val="16"/>
              </w:rPr>
              <w:t xml:space="preserve"> Coverage  (dB)</w:t>
            </w:r>
            <w:r w:rsidRPr="000720E4">
              <w:rPr>
                <w:color w:val="000000"/>
                <w:szCs w:val="16"/>
              </w:rPr>
              <w:br/>
              <w:t>(23-P_LTE)</w:t>
            </w:r>
          </w:p>
        </w:tc>
        <w:tc>
          <w:tcPr>
            <w:tcW w:w="978" w:type="dxa"/>
            <w:tcBorders>
              <w:top w:val="single" w:sz="8" w:space="0" w:color="auto"/>
              <w:left w:val="nil"/>
              <w:bottom w:val="single" w:sz="4" w:space="0" w:color="auto"/>
              <w:right w:val="single" w:sz="8" w:space="0" w:color="auto"/>
            </w:tcBorders>
            <w:shd w:val="clear" w:color="000000" w:fill="9BC2E6"/>
            <w:hideMark/>
          </w:tcPr>
          <w:p w:rsidR="000720E4" w:rsidRPr="000720E4" w:rsidRDefault="000720E4" w:rsidP="000720E4">
            <w:pPr>
              <w:spacing w:before="0" w:after="0"/>
              <w:jc w:val="center"/>
              <w:rPr>
                <w:color w:val="000000"/>
                <w:szCs w:val="16"/>
              </w:rPr>
            </w:pPr>
            <w:r w:rsidRPr="000720E4">
              <w:rPr>
                <w:color w:val="000000"/>
                <w:szCs w:val="16"/>
              </w:rPr>
              <w:t>% Area with NR Coverage</w:t>
            </w:r>
          </w:p>
        </w:tc>
      </w:tr>
      <w:tr w:rsidR="000720E4" w:rsidRPr="000720E4" w:rsidTr="000720E4">
        <w:trPr>
          <w:trHeight w:val="210"/>
        </w:trPr>
        <w:tc>
          <w:tcPr>
            <w:tcW w:w="1329" w:type="dxa"/>
            <w:tcBorders>
              <w:top w:val="nil"/>
              <w:left w:val="single" w:sz="8" w:space="0" w:color="auto"/>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 xml:space="preserve">1 Slot PUCCH </w:t>
            </w:r>
          </w:p>
        </w:tc>
        <w:tc>
          <w:tcPr>
            <w:tcW w:w="1180" w:type="dxa"/>
            <w:tcBorders>
              <w:top w:val="nil"/>
              <w:left w:val="nil"/>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3.1</w:t>
            </w:r>
          </w:p>
        </w:tc>
        <w:tc>
          <w:tcPr>
            <w:tcW w:w="1180" w:type="dxa"/>
            <w:tcBorders>
              <w:top w:val="nil"/>
              <w:left w:val="nil"/>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-2.9</w:t>
            </w:r>
          </w:p>
        </w:tc>
        <w:tc>
          <w:tcPr>
            <w:tcW w:w="1180" w:type="dxa"/>
            <w:tcBorders>
              <w:top w:val="nil"/>
              <w:left w:val="nil"/>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18.3</w:t>
            </w:r>
          </w:p>
        </w:tc>
        <w:tc>
          <w:tcPr>
            <w:tcW w:w="1180" w:type="dxa"/>
            <w:tcBorders>
              <w:top w:val="nil"/>
              <w:left w:val="nil"/>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21.2</w:t>
            </w:r>
          </w:p>
        </w:tc>
        <w:tc>
          <w:tcPr>
            <w:tcW w:w="1340" w:type="dxa"/>
            <w:tcBorders>
              <w:top w:val="nil"/>
              <w:left w:val="nil"/>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4.7</w:t>
            </w:r>
          </w:p>
        </w:tc>
        <w:tc>
          <w:tcPr>
            <w:tcW w:w="978" w:type="dxa"/>
            <w:tcBorders>
              <w:top w:val="nil"/>
              <w:left w:val="nil"/>
              <w:bottom w:val="single" w:sz="4" w:space="0" w:color="auto"/>
              <w:right w:val="single" w:sz="8"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57%</w:t>
            </w:r>
          </w:p>
        </w:tc>
      </w:tr>
      <w:tr w:rsidR="000720E4" w:rsidRPr="000720E4" w:rsidTr="000720E4">
        <w:trPr>
          <w:trHeight w:val="210"/>
        </w:trPr>
        <w:tc>
          <w:tcPr>
            <w:tcW w:w="1329" w:type="dxa"/>
            <w:tcBorders>
              <w:top w:val="nil"/>
              <w:left w:val="single" w:sz="8" w:space="0" w:color="auto"/>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 xml:space="preserve">2 Slot PUCCH </w:t>
            </w:r>
          </w:p>
        </w:tc>
        <w:tc>
          <w:tcPr>
            <w:tcW w:w="1180" w:type="dxa"/>
            <w:tcBorders>
              <w:top w:val="nil"/>
              <w:left w:val="nil"/>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5.8</w:t>
            </w:r>
          </w:p>
        </w:tc>
        <w:tc>
          <w:tcPr>
            <w:tcW w:w="1180" w:type="dxa"/>
            <w:tcBorders>
              <w:top w:val="nil"/>
              <w:left w:val="nil"/>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-0.2</w:t>
            </w:r>
          </w:p>
        </w:tc>
        <w:tc>
          <w:tcPr>
            <w:tcW w:w="1180" w:type="dxa"/>
            <w:tcBorders>
              <w:top w:val="nil"/>
              <w:left w:val="nil"/>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19.9</w:t>
            </w:r>
          </w:p>
        </w:tc>
        <w:tc>
          <w:tcPr>
            <w:tcW w:w="1180" w:type="dxa"/>
            <w:tcBorders>
              <w:top w:val="nil"/>
              <w:left w:val="nil"/>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20.1</w:t>
            </w:r>
          </w:p>
        </w:tc>
        <w:tc>
          <w:tcPr>
            <w:tcW w:w="1340" w:type="dxa"/>
            <w:tcBorders>
              <w:top w:val="nil"/>
              <w:left w:val="nil"/>
              <w:bottom w:val="single" w:sz="4"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3.1</w:t>
            </w:r>
          </w:p>
        </w:tc>
        <w:tc>
          <w:tcPr>
            <w:tcW w:w="978" w:type="dxa"/>
            <w:tcBorders>
              <w:top w:val="nil"/>
              <w:left w:val="nil"/>
              <w:bottom w:val="single" w:sz="4" w:space="0" w:color="auto"/>
              <w:right w:val="single" w:sz="8"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69%</w:t>
            </w:r>
          </w:p>
        </w:tc>
      </w:tr>
      <w:tr w:rsidR="000720E4" w:rsidRPr="000720E4" w:rsidTr="000720E4">
        <w:trPr>
          <w:trHeight w:val="220"/>
        </w:trPr>
        <w:tc>
          <w:tcPr>
            <w:tcW w:w="1329" w:type="dxa"/>
            <w:tcBorders>
              <w:top w:val="nil"/>
              <w:left w:val="single" w:sz="8" w:space="0" w:color="auto"/>
              <w:bottom w:val="single" w:sz="8"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 xml:space="preserve">4 Slot PUCCH </w:t>
            </w:r>
          </w:p>
        </w:tc>
        <w:tc>
          <w:tcPr>
            <w:tcW w:w="1180" w:type="dxa"/>
            <w:tcBorders>
              <w:top w:val="nil"/>
              <w:left w:val="nil"/>
              <w:bottom w:val="single" w:sz="8"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8</w:t>
            </w:r>
          </w:p>
        </w:tc>
        <w:tc>
          <w:tcPr>
            <w:tcW w:w="1180" w:type="dxa"/>
            <w:tcBorders>
              <w:top w:val="nil"/>
              <w:left w:val="nil"/>
              <w:bottom w:val="single" w:sz="8"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2</w:t>
            </w:r>
          </w:p>
        </w:tc>
        <w:tc>
          <w:tcPr>
            <w:tcW w:w="1180" w:type="dxa"/>
            <w:tcBorders>
              <w:top w:val="nil"/>
              <w:left w:val="nil"/>
              <w:bottom w:val="single" w:sz="8"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20.9</w:t>
            </w:r>
          </w:p>
        </w:tc>
        <w:tc>
          <w:tcPr>
            <w:tcW w:w="1180" w:type="dxa"/>
            <w:tcBorders>
              <w:top w:val="nil"/>
              <w:left w:val="nil"/>
              <w:bottom w:val="single" w:sz="8"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18.9</w:t>
            </w:r>
          </w:p>
        </w:tc>
        <w:tc>
          <w:tcPr>
            <w:tcW w:w="1340" w:type="dxa"/>
            <w:tcBorders>
              <w:top w:val="nil"/>
              <w:left w:val="nil"/>
              <w:bottom w:val="single" w:sz="8" w:space="0" w:color="auto"/>
              <w:right w:val="single" w:sz="4"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2.1</w:t>
            </w:r>
          </w:p>
        </w:tc>
        <w:tc>
          <w:tcPr>
            <w:tcW w:w="978" w:type="dxa"/>
            <w:tcBorders>
              <w:top w:val="nil"/>
              <w:left w:val="nil"/>
              <w:bottom w:val="single" w:sz="8" w:space="0" w:color="auto"/>
              <w:right w:val="single" w:sz="8" w:space="0" w:color="auto"/>
            </w:tcBorders>
            <w:shd w:val="clear" w:color="auto" w:fill="auto"/>
            <w:noWrap/>
            <w:vAlign w:val="bottom"/>
            <w:hideMark/>
          </w:tcPr>
          <w:p w:rsidR="000720E4" w:rsidRPr="000720E4" w:rsidRDefault="000720E4" w:rsidP="000720E4">
            <w:pPr>
              <w:spacing w:before="0" w:after="0"/>
              <w:jc w:val="center"/>
              <w:rPr>
                <w:color w:val="000000"/>
                <w:szCs w:val="16"/>
              </w:rPr>
            </w:pPr>
            <w:r w:rsidRPr="000720E4">
              <w:rPr>
                <w:color w:val="000000"/>
                <w:szCs w:val="16"/>
              </w:rPr>
              <w:t>78%</w:t>
            </w:r>
          </w:p>
        </w:tc>
      </w:tr>
    </w:tbl>
    <w:p w:rsidR="000720E4" w:rsidRDefault="000720E4" w:rsidP="000720E4">
      <w:pPr>
        <w:pStyle w:val="Caption"/>
      </w:pPr>
      <w:bookmarkStart w:id="4" w:name="_Ref498612934"/>
      <w:bookmarkStart w:id="5" w:name="_Ref498629617"/>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2</w:t>
      </w:r>
      <w:r>
        <w:fldChar w:fldCharType="end"/>
      </w:r>
      <w:bookmarkEnd w:id="4"/>
      <w:r>
        <w:t xml:space="preserve"> Coverage Impact with LTE-NR Dual Connectivity</w:t>
      </w:r>
      <w:bookmarkEnd w:id="5"/>
    </w:p>
    <w:p w:rsidR="000720E4" w:rsidRDefault="00B70DF1" w:rsidP="000720E4">
      <w:pPr>
        <w:rPr>
          <w:lang w:val="en-GB" w:eastAsia="zh-CN"/>
        </w:rPr>
      </w:pPr>
      <w:r>
        <w:rPr>
          <w:lang w:val="en-GB" w:eastAsia="zh-CN"/>
        </w:rPr>
        <w:t xml:space="preserve">In </w:t>
      </w:r>
      <w:r>
        <w:rPr>
          <w:lang w:val="en-GB" w:eastAsia="zh-CN"/>
        </w:rPr>
        <w:fldChar w:fldCharType="begin"/>
      </w:r>
      <w:r>
        <w:rPr>
          <w:lang w:val="en-GB" w:eastAsia="zh-CN"/>
        </w:rPr>
        <w:instrText xml:space="preserve"> REF _Ref498612934 \h </w:instrText>
      </w:r>
      <w:r>
        <w:rPr>
          <w:lang w:val="en-GB" w:eastAsia="zh-CN"/>
        </w:rPr>
      </w:r>
      <w:r>
        <w:rPr>
          <w:lang w:val="en-GB" w:eastAsia="zh-CN"/>
        </w:rPr>
        <w:fldChar w:fldCharType="separate"/>
      </w:r>
      <w:r>
        <w:t xml:space="preserve">Table </w:t>
      </w:r>
      <w:r>
        <w:rPr>
          <w:noProof/>
        </w:rPr>
        <w:t>2</w:t>
      </w:r>
      <w:r>
        <w:noBreakHyphen/>
      </w:r>
      <w:r>
        <w:rPr>
          <w:noProof/>
        </w:rPr>
        <w:t>2</w:t>
      </w:r>
      <w:r>
        <w:rPr>
          <w:lang w:val="en-GB" w:eastAsia="zh-CN"/>
        </w:rPr>
        <w:fldChar w:fldCharType="end"/>
      </w:r>
      <w:r>
        <w:rPr>
          <w:lang w:val="en-GB" w:eastAsia="zh-CN"/>
        </w:rPr>
        <w:t xml:space="preserve"> we show the impact of static power sharing </w:t>
      </w:r>
      <w:r w:rsidR="00E63FED">
        <w:rPr>
          <w:lang w:val="en-GB" w:eastAsia="zh-CN"/>
        </w:rPr>
        <w:t>on the coverage of dual connectivity. In these analysis the baseline is LTE coverage without any dual connectivity with NR. On</w:t>
      </w:r>
      <w:r w:rsidR="007A6B4C">
        <w:rPr>
          <w:lang w:val="en-GB" w:eastAsia="zh-CN"/>
        </w:rPr>
        <w:t>c</w:t>
      </w:r>
      <w:r w:rsidR="00E63FED">
        <w:rPr>
          <w:lang w:val="en-GB" w:eastAsia="zh-CN"/>
        </w:rPr>
        <w:t>e the coverage impact is known we c</w:t>
      </w:r>
      <w:r w:rsidR="007A6B4C">
        <w:rPr>
          <w:lang w:val="en-GB" w:eastAsia="zh-CN"/>
        </w:rPr>
        <w:t>an convert it to area impact by the following equation:</w:t>
      </w:r>
    </w:p>
    <w:p w:rsidR="007A6B4C" w:rsidRDefault="00812B08" w:rsidP="000720E4">
      <w:pPr>
        <w:rPr>
          <w:lang w:val="en-GB" w:eastAsia="zh-CN"/>
        </w:rPr>
      </w:pPr>
      <w:r w:rsidRPr="007A6B4C">
        <w:rPr>
          <w:position w:val="-70"/>
          <w:lang w:val="en-GB" w:eastAsia="zh-CN"/>
        </w:rPr>
        <w:object w:dxaOrig="4540" w:dyaOrig="1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60.5pt" o:ole="">
            <v:imagedata r:id="rId10" o:title=""/>
          </v:shape>
          <o:OLEObject Type="Embed" ProgID="Equation.3" ShapeID="_x0000_i1025" DrawAspect="Content" ObjectID="_1572460654" r:id="rId11"/>
        </w:object>
      </w:r>
    </w:p>
    <w:p w:rsidR="007A6B4C" w:rsidRDefault="007A6B4C" w:rsidP="000720E4">
      <w:pPr>
        <w:rPr>
          <w:lang w:val="en-GB" w:eastAsia="zh-CN"/>
        </w:rPr>
      </w:pPr>
      <w:r>
        <w:rPr>
          <w:lang w:val="en-GB" w:eastAsia="zh-CN"/>
        </w:rPr>
        <w:t xml:space="preserve">Where </w:t>
      </w:r>
      <w:r w:rsidRPr="007A6B4C">
        <w:rPr>
          <w:rFonts w:ascii="Symbol" w:hAnsi="Symbol"/>
          <w:i/>
          <w:lang w:val="en-GB" w:eastAsia="zh-CN"/>
        </w:rPr>
        <w:t></w:t>
      </w:r>
      <w:r>
        <w:rPr>
          <w:lang w:val="en-GB" w:eastAsia="zh-CN"/>
        </w:rPr>
        <w:t xml:space="preserve"> is the </w:t>
      </w:r>
      <w:r w:rsidR="00D03B7E">
        <w:rPr>
          <w:lang w:val="en-GB" w:eastAsia="zh-CN"/>
        </w:rPr>
        <w:t>path loss</w:t>
      </w:r>
      <w:r>
        <w:rPr>
          <w:lang w:val="en-GB" w:eastAsia="zh-CN"/>
        </w:rPr>
        <w:t xml:space="preserve"> exponent and we use the value of 3.98 which is indicative of a UMa NLOS environment. </w:t>
      </w:r>
      <w:r w:rsidR="00812B08">
        <w:rPr>
          <w:lang w:val="en-GB" w:eastAsia="zh-CN"/>
        </w:rPr>
        <w:t xml:space="preserve">In </w:t>
      </w:r>
      <w:r w:rsidR="00812B08">
        <w:rPr>
          <w:lang w:val="en-GB" w:eastAsia="zh-CN"/>
        </w:rPr>
        <w:fldChar w:fldCharType="begin"/>
      </w:r>
      <w:r w:rsidR="00812B08">
        <w:rPr>
          <w:lang w:val="en-GB" w:eastAsia="zh-CN"/>
        </w:rPr>
        <w:instrText xml:space="preserve"> REF _Ref498612934 \h </w:instrText>
      </w:r>
      <w:r w:rsidR="00812B08">
        <w:rPr>
          <w:lang w:val="en-GB" w:eastAsia="zh-CN"/>
        </w:rPr>
      </w:r>
      <w:r w:rsidR="00812B08">
        <w:rPr>
          <w:lang w:val="en-GB" w:eastAsia="zh-CN"/>
        </w:rPr>
        <w:fldChar w:fldCharType="separate"/>
      </w:r>
      <w:r w:rsidR="00812B08">
        <w:t xml:space="preserve">Table </w:t>
      </w:r>
      <w:r w:rsidR="00812B08">
        <w:rPr>
          <w:noProof/>
        </w:rPr>
        <w:t>2</w:t>
      </w:r>
      <w:r w:rsidR="00812B08">
        <w:noBreakHyphen/>
      </w:r>
      <w:r w:rsidR="00812B08">
        <w:rPr>
          <w:noProof/>
        </w:rPr>
        <w:t>2</w:t>
      </w:r>
      <w:r w:rsidR="00812B08">
        <w:rPr>
          <w:lang w:val="en-GB" w:eastAsia="zh-CN"/>
        </w:rPr>
        <w:fldChar w:fldCharType="end"/>
      </w:r>
      <w:r w:rsidR="00812B08">
        <w:rPr>
          <w:lang w:val="en-GB" w:eastAsia="zh-CN"/>
        </w:rPr>
        <w:t xml:space="preserve"> the optimum power split between LTE and NR is computed so as to match the UL PUCCH coverage of both LTE and NR. </w:t>
      </w:r>
    </w:p>
    <w:p w:rsidR="000720E4" w:rsidRDefault="00812B08" w:rsidP="00812B08">
      <w:pPr>
        <w:jc w:val="center"/>
        <w:rPr>
          <w:lang w:val="en-GB" w:eastAsia="zh-CN"/>
        </w:rPr>
      </w:pPr>
      <w:r>
        <w:rPr>
          <w:noProof/>
        </w:rPr>
        <w:drawing>
          <wp:inline distT="0" distB="0" distL="0" distR="0" wp14:anchorId="64013649">
            <wp:extent cx="4578350" cy="31457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8350" cy="3145790"/>
                    </a:xfrm>
                    <a:prstGeom prst="rect">
                      <a:avLst/>
                    </a:prstGeom>
                    <a:noFill/>
                  </pic:spPr>
                </pic:pic>
              </a:graphicData>
            </a:graphic>
          </wp:inline>
        </w:drawing>
      </w:r>
    </w:p>
    <w:p w:rsidR="00812B08" w:rsidRDefault="00812B08" w:rsidP="00812B08">
      <w:pPr>
        <w:pStyle w:val="Caption"/>
      </w:pPr>
      <w:bookmarkStart w:id="6" w:name="_Ref498629496"/>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6"/>
      <w:r>
        <w:t xml:space="preserve"> Coverage Impact with Static Power Sharing</w:t>
      </w:r>
    </w:p>
    <w:p w:rsidR="00812B08" w:rsidRDefault="00812B08" w:rsidP="00812B08">
      <w:pPr>
        <w:rPr>
          <w:lang w:val="en-GB" w:eastAsia="zh-CN"/>
        </w:rPr>
      </w:pPr>
      <w:r>
        <w:rPr>
          <w:lang w:val="en-GB" w:eastAsia="zh-CN"/>
        </w:rPr>
        <w:t xml:space="preserve">Based on </w:t>
      </w:r>
      <w:r>
        <w:rPr>
          <w:lang w:val="en-GB" w:eastAsia="zh-CN"/>
        </w:rPr>
        <w:fldChar w:fldCharType="begin"/>
      </w:r>
      <w:r>
        <w:rPr>
          <w:lang w:val="en-GB" w:eastAsia="zh-CN"/>
        </w:rPr>
        <w:instrText xml:space="preserve"> REF _Ref498629496 \h </w:instrText>
      </w:r>
      <w:r>
        <w:rPr>
          <w:lang w:val="en-GB" w:eastAsia="zh-CN"/>
        </w:rPr>
      </w:r>
      <w:r>
        <w:rPr>
          <w:lang w:val="en-GB" w:eastAsia="zh-CN"/>
        </w:rPr>
        <w:fldChar w:fldCharType="separate"/>
      </w:r>
      <w:r>
        <w:t xml:space="preserve">Figure </w:t>
      </w:r>
      <w:r>
        <w:rPr>
          <w:noProof/>
        </w:rPr>
        <w:t>2</w:t>
      </w:r>
      <w:r>
        <w:noBreakHyphen/>
      </w:r>
      <w:r>
        <w:rPr>
          <w:noProof/>
        </w:rPr>
        <w:t>2</w:t>
      </w:r>
      <w:r>
        <w:rPr>
          <w:lang w:val="en-GB" w:eastAsia="zh-CN"/>
        </w:rPr>
        <w:fldChar w:fldCharType="end"/>
      </w:r>
      <w:r>
        <w:rPr>
          <w:lang w:val="en-GB" w:eastAsia="zh-CN"/>
        </w:rPr>
        <w:t xml:space="preserve"> we see can make the following observation: </w:t>
      </w:r>
    </w:p>
    <w:p w:rsidR="00812B08" w:rsidRDefault="00812B08" w:rsidP="00812B08">
      <w:pPr>
        <w:rPr>
          <w:b/>
          <w:lang w:val="en-GB" w:eastAsia="zh-CN"/>
        </w:rPr>
      </w:pPr>
      <w:r w:rsidRPr="00812B08">
        <w:rPr>
          <w:b/>
          <w:lang w:val="en-GB" w:eastAsia="zh-CN"/>
        </w:rPr>
        <w:t>Observation 3: With static power sharing between LTE and NR the coverage with dual connectivity is somewhere around 50% - 75% of the baseline coverage with LTE only</w:t>
      </w:r>
    </w:p>
    <w:p w:rsidR="00812B08" w:rsidRDefault="00AE2A1A" w:rsidP="00812B08">
      <w:pPr>
        <w:rPr>
          <w:lang w:val="en-GB" w:eastAsia="zh-CN"/>
        </w:rPr>
      </w:pPr>
      <w:r>
        <w:rPr>
          <w:lang w:val="en-GB" w:eastAsia="zh-CN"/>
        </w:rPr>
        <w:t>This implies that once NR s deployed as NSA using dual connectivity with LTE we would not be able to match the coverage between the LTE only footprint and NR footprint which makes ubiquitous deployment of NR an impossible task. Based on this we make the following proposal:</w:t>
      </w:r>
    </w:p>
    <w:p w:rsidR="00AE2A1A" w:rsidRDefault="00AE2A1A" w:rsidP="00812B08">
      <w:pPr>
        <w:rPr>
          <w:rFonts w:asciiTheme="minorHAnsi" w:eastAsia="MS Mincho" w:hAnsiTheme="minorHAnsi"/>
          <w:b/>
          <w:lang w:eastAsia="ja-JP"/>
        </w:rPr>
      </w:pPr>
      <w:r w:rsidRPr="00AE2A1A">
        <w:rPr>
          <w:b/>
          <w:lang w:val="en-GB" w:eastAsia="zh-CN"/>
        </w:rPr>
        <w:t xml:space="preserve">Proposal 1: </w:t>
      </w:r>
      <w:r w:rsidRPr="00AE2A1A">
        <w:rPr>
          <w:rFonts w:asciiTheme="minorHAnsi" w:eastAsia="MS Mincho" w:hAnsiTheme="minorHAnsi"/>
          <w:b/>
          <w:lang w:eastAsia="ja-JP"/>
        </w:rPr>
        <w:t>Handling of P_LTE + P_NR &gt; P_cmax</w:t>
      </w:r>
      <w:r>
        <w:rPr>
          <w:rFonts w:asciiTheme="minorHAnsi" w:eastAsia="MS Mincho" w:hAnsiTheme="minorHAnsi"/>
          <w:b/>
          <w:lang w:eastAsia="ja-JP"/>
        </w:rPr>
        <w:t xml:space="preserve"> is mandatory for ALL NSA UE in Rel 15 </w:t>
      </w:r>
    </w:p>
    <w:p w:rsidR="00146AC7" w:rsidRDefault="00146AC7" w:rsidP="00812B08">
      <w:pPr>
        <w:rPr>
          <w:rFonts w:asciiTheme="minorHAnsi" w:eastAsia="MS Mincho" w:hAnsiTheme="minorHAnsi"/>
          <w:b/>
          <w:lang w:eastAsia="ja-JP"/>
        </w:rPr>
      </w:pPr>
    </w:p>
    <w:p w:rsidR="00146AC7" w:rsidRDefault="00146AC7" w:rsidP="00146AC7">
      <w:pPr>
        <w:pStyle w:val="Heading1"/>
        <w:rPr>
          <w:rFonts w:eastAsia="MS Mincho"/>
          <w:lang w:eastAsia="ja-JP"/>
        </w:rPr>
      </w:pPr>
      <w:r>
        <w:rPr>
          <w:rFonts w:eastAsia="MS Mincho"/>
          <w:lang w:eastAsia="ja-JP"/>
        </w:rPr>
        <w:lastRenderedPageBreak/>
        <w:t>Summary</w:t>
      </w:r>
    </w:p>
    <w:p w:rsidR="00146AC7" w:rsidRPr="00EC5230" w:rsidRDefault="00146AC7" w:rsidP="00146AC7">
      <w:pPr>
        <w:spacing w:before="0" w:after="0"/>
        <w:rPr>
          <w:b/>
          <w:lang w:val="en-GB" w:eastAsia="zh-CN"/>
        </w:rPr>
      </w:pPr>
      <w:r w:rsidRPr="00EC5230">
        <w:rPr>
          <w:b/>
          <w:lang w:val="en-GB" w:eastAsia="zh-CN"/>
        </w:rPr>
        <w:t>Observation 1: For UCI greater than 2 bits (e.g CSI feedback) we see the following improvement on the system gain of the NR PUCCH relative to the LTE PUCCH:</w:t>
      </w:r>
    </w:p>
    <w:p w:rsidR="00146AC7" w:rsidRPr="00EC5230" w:rsidRDefault="00146AC7" w:rsidP="00146AC7">
      <w:pPr>
        <w:pStyle w:val="ListParagraph"/>
        <w:numPr>
          <w:ilvl w:val="0"/>
          <w:numId w:val="29"/>
        </w:numPr>
        <w:spacing w:before="0" w:after="0"/>
        <w:rPr>
          <w:b/>
          <w:lang w:val="en-GB" w:eastAsia="zh-CN"/>
        </w:rPr>
      </w:pPr>
      <w:r w:rsidRPr="00EC5230">
        <w:rPr>
          <w:b/>
          <w:lang w:val="en-GB" w:eastAsia="zh-CN"/>
        </w:rPr>
        <w:t xml:space="preserve">1 slot PUCCH: 3.1 dB </w:t>
      </w:r>
    </w:p>
    <w:p w:rsidR="00146AC7" w:rsidRPr="00EC5230" w:rsidRDefault="00146AC7" w:rsidP="00146AC7">
      <w:pPr>
        <w:pStyle w:val="ListParagraph"/>
        <w:numPr>
          <w:ilvl w:val="0"/>
          <w:numId w:val="29"/>
        </w:numPr>
        <w:rPr>
          <w:b/>
          <w:lang w:val="en-GB" w:eastAsia="zh-CN"/>
        </w:rPr>
      </w:pPr>
      <w:r w:rsidRPr="00EC5230">
        <w:rPr>
          <w:b/>
          <w:lang w:val="en-GB" w:eastAsia="zh-CN"/>
        </w:rPr>
        <w:t>2 slot PUCCH: 5.8 dB</w:t>
      </w:r>
    </w:p>
    <w:p w:rsidR="00146AC7" w:rsidRPr="00EC5230" w:rsidRDefault="00146AC7" w:rsidP="00146AC7">
      <w:pPr>
        <w:pStyle w:val="ListParagraph"/>
        <w:numPr>
          <w:ilvl w:val="0"/>
          <w:numId w:val="29"/>
        </w:numPr>
        <w:rPr>
          <w:b/>
          <w:lang w:val="en-GB" w:eastAsia="zh-CN"/>
        </w:rPr>
      </w:pPr>
      <w:r w:rsidRPr="00EC5230">
        <w:rPr>
          <w:b/>
          <w:lang w:val="en-GB" w:eastAsia="zh-CN"/>
        </w:rPr>
        <w:t>4 slot PUCCH: 8 dB</w:t>
      </w:r>
    </w:p>
    <w:p w:rsidR="00146AC7" w:rsidRPr="00EC5230" w:rsidRDefault="00146AC7" w:rsidP="00146AC7">
      <w:pPr>
        <w:spacing w:before="0" w:after="0"/>
        <w:rPr>
          <w:b/>
          <w:lang w:val="en-GB" w:eastAsia="zh-CN"/>
        </w:rPr>
      </w:pPr>
      <w:r w:rsidRPr="00EC5230">
        <w:rPr>
          <w:b/>
          <w:lang w:val="en-GB" w:eastAsia="zh-CN"/>
        </w:rPr>
        <w:t>Observation 2: For UCI less than equal to 2 bits (e.g CSI feedback) we see the following improvement on the system gain of the NR PUCCH relative to the LTE PUCCH:</w:t>
      </w:r>
    </w:p>
    <w:p w:rsidR="00146AC7" w:rsidRPr="00EC5230" w:rsidRDefault="00146AC7" w:rsidP="00146AC7">
      <w:pPr>
        <w:pStyle w:val="ListParagraph"/>
        <w:numPr>
          <w:ilvl w:val="0"/>
          <w:numId w:val="29"/>
        </w:numPr>
        <w:spacing w:before="0" w:after="0"/>
        <w:rPr>
          <w:b/>
          <w:lang w:val="en-GB" w:eastAsia="zh-CN"/>
        </w:rPr>
      </w:pPr>
      <w:r w:rsidRPr="00EC5230">
        <w:rPr>
          <w:b/>
          <w:lang w:val="en-GB" w:eastAsia="zh-CN"/>
        </w:rPr>
        <w:t xml:space="preserve">1 slot PUCCH: 4.2 dB </w:t>
      </w:r>
    </w:p>
    <w:p w:rsidR="00146AC7" w:rsidRPr="00EC5230" w:rsidRDefault="00146AC7" w:rsidP="00146AC7">
      <w:pPr>
        <w:pStyle w:val="ListParagraph"/>
        <w:numPr>
          <w:ilvl w:val="0"/>
          <w:numId w:val="29"/>
        </w:numPr>
        <w:rPr>
          <w:b/>
          <w:lang w:val="en-GB" w:eastAsia="zh-CN"/>
        </w:rPr>
      </w:pPr>
      <w:r w:rsidRPr="00EC5230">
        <w:rPr>
          <w:b/>
          <w:lang w:val="en-GB" w:eastAsia="zh-CN"/>
        </w:rPr>
        <w:t>2 slot PUCCH: 6.2 dB</w:t>
      </w:r>
    </w:p>
    <w:p w:rsidR="00146AC7" w:rsidRDefault="00146AC7" w:rsidP="00146AC7">
      <w:pPr>
        <w:pStyle w:val="ListParagraph"/>
        <w:numPr>
          <w:ilvl w:val="0"/>
          <w:numId w:val="29"/>
        </w:numPr>
        <w:rPr>
          <w:b/>
          <w:lang w:val="en-GB" w:eastAsia="zh-CN"/>
        </w:rPr>
      </w:pPr>
      <w:r w:rsidRPr="00EC5230">
        <w:rPr>
          <w:b/>
          <w:lang w:val="en-GB" w:eastAsia="zh-CN"/>
        </w:rPr>
        <w:t>4 slot PUCCH: 8.6 dB</w:t>
      </w:r>
    </w:p>
    <w:p w:rsidR="00146AC7" w:rsidRDefault="00146AC7" w:rsidP="00146AC7">
      <w:pPr>
        <w:rPr>
          <w:b/>
          <w:lang w:val="en-GB" w:eastAsia="zh-CN"/>
        </w:rPr>
      </w:pPr>
      <w:r w:rsidRPr="00812B08">
        <w:rPr>
          <w:b/>
          <w:lang w:val="en-GB" w:eastAsia="zh-CN"/>
        </w:rPr>
        <w:t>Observation 3: With static power sharing between LTE and NR the coverage with dual connectivity is somewhere around 50% - 75% of the baseline coverage with LTE only</w:t>
      </w:r>
    </w:p>
    <w:p w:rsidR="00146AC7" w:rsidRDefault="00146AC7" w:rsidP="00146AC7">
      <w:pPr>
        <w:rPr>
          <w:rFonts w:asciiTheme="minorHAnsi" w:eastAsia="MS Mincho" w:hAnsiTheme="minorHAnsi"/>
          <w:b/>
          <w:lang w:eastAsia="ja-JP"/>
        </w:rPr>
      </w:pPr>
      <w:r w:rsidRPr="00AE2A1A">
        <w:rPr>
          <w:b/>
          <w:lang w:val="en-GB" w:eastAsia="zh-CN"/>
        </w:rPr>
        <w:t xml:space="preserve">Proposal 1: </w:t>
      </w:r>
      <w:r w:rsidRPr="00AE2A1A">
        <w:rPr>
          <w:rFonts w:asciiTheme="minorHAnsi" w:eastAsia="MS Mincho" w:hAnsiTheme="minorHAnsi"/>
          <w:b/>
          <w:lang w:eastAsia="ja-JP"/>
        </w:rPr>
        <w:t>Handling of P_LTE + P_NR &gt; P_cmax</w:t>
      </w:r>
      <w:r>
        <w:rPr>
          <w:rFonts w:asciiTheme="minorHAnsi" w:eastAsia="MS Mincho" w:hAnsiTheme="minorHAnsi"/>
          <w:b/>
          <w:lang w:eastAsia="ja-JP"/>
        </w:rPr>
        <w:t xml:space="preserve"> is mandatory for ALL NSA UE in Rel 15 </w:t>
      </w:r>
    </w:p>
    <w:p w:rsidR="00146AC7" w:rsidRDefault="00146AC7" w:rsidP="00146AC7">
      <w:pPr>
        <w:pStyle w:val="Heading1"/>
        <w:rPr>
          <w:rFonts w:eastAsia="MS Mincho"/>
          <w:lang w:eastAsia="ja-JP"/>
        </w:rPr>
      </w:pPr>
      <w:r>
        <w:rPr>
          <w:rFonts w:eastAsia="MS Mincho"/>
          <w:lang w:eastAsia="ja-JP"/>
        </w:rPr>
        <w:t>References</w:t>
      </w:r>
    </w:p>
    <w:p w:rsidR="00AB23D4" w:rsidRDefault="00AB23D4" w:rsidP="00AB23D4">
      <w:pPr>
        <w:pStyle w:val="2222"/>
        <w:numPr>
          <w:ilvl w:val="0"/>
          <w:numId w:val="30"/>
        </w:numPr>
        <w:spacing w:after="120" w:line="288" w:lineRule="auto"/>
        <w:ind w:left="360" w:firstLineChars="0"/>
        <w:rPr>
          <w:rFonts w:cs="Times New Roman"/>
          <w:lang w:eastAsia="ko-KR"/>
        </w:rPr>
      </w:pPr>
      <w:bookmarkStart w:id="7" w:name="_Ref477784397"/>
      <w:r w:rsidRPr="002954E9">
        <w:rPr>
          <w:rFonts w:cs="Times New Roman"/>
          <w:lang w:eastAsia="ko-KR"/>
        </w:rPr>
        <w:t>RP-170847</w:t>
      </w:r>
      <w:r>
        <w:rPr>
          <w:rFonts w:cs="Times New Roman"/>
          <w:lang w:eastAsia="ko-KR"/>
        </w:rPr>
        <w:t xml:space="preserve">, </w:t>
      </w:r>
      <w:r w:rsidRPr="002954E9">
        <w:rPr>
          <w:rFonts w:cs="Times New Roman"/>
          <w:lang w:eastAsia="ko-KR"/>
        </w:rPr>
        <w:t>New WID on New Radio Access Technology</w:t>
      </w:r>
      <w:r>
        <w:rPr>
          <w:rFonts w:cs="Times New Roman"/>
          <w:lang w:eastAsia="ko-KR"/>
        </w:rPr>
        <w:t xml:space="preserve">, </w:t>
      </w:r>
      <w:r w:rsidRPr="002954E9">
        <w:rPr>
          <w:rFonts w:cs="Times New Roman"/>
          <w:lang w:eastAsia="ko-KR"/>
        </w:rPr>
        <w:t>NTT DOCOMO, INC.</w:t>
      </w:r>
      <w:bookmarkEnd w:id="7"/>
    </w:p>
    <w:p w:rsidR="00146AC7" w:rsidRPr="00146AC7" w:rsidRDefault="00146AC7" w:rsidP="00146AC7">
      <w:pPr>
        <w:rPr>
          <w:b/>
          <w:lang w:val="en-GB" w:eastAsia="zh-CN"/>
        </w:rPr>
      </w:pPr>
      <w:bookmarkStart w:id="8" w:name="_GoBack"/>
      <w:bookmarkEnd w:id="8"/>
    </w:p>
    <w:p w:rsidR="00146AC7" w:rsidRPr="00146AC7" w:rsidRDefault="00146AC7" w:rsidP="00146AC7">
      <w:pPr>
        <w:rPr>
          <w:rFonts w:eastAsia="MS Mincho"/>
          <w:lang w:eastAsia="ja-JP"/>
        </w:rPr>
      </w:pPr>
    </w:p>
    <w:sectPr w:rsidR="00146AC7" w:rsidRPr="00146AC7"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5B8" w:rsidRDefault="00F415B8" w:rsidP="00424124">
      <w:pPr>
        <w:spacing w:before="0" w:after="0"/>
      </w:pPr>
      <w:r>
        <w:separator/>
      </w:r>
    </w:p>
  </w:endnote>
  <w:endnote w:type="continuationSeparator" w:id="0">
    <w:p w:rsidR="00F415B8" w:rsidRDefault="00F415B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5B8" w:rsidRDefault="00F415B8" w:rsidP="00424124">
      <w:pPr>
        <w:spacing w:before="0" w:after="0"/>
      </w:pPr>
      <w:r>
        <w:separator/>
      </w:r>
    </w:p>
  </w:footnote>
  <w:footnote w:type="continuationSeparator" w:id="0">
    <w:p w:rsidR="00F415B8" w:rsidRDefault="00F415B8"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FA3332"/>
    <w:multiLevelType w:val="hybridMultilevel"/>
    <w:tmpl w:val="622CB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0754A"/>
    <w:multiLevelType w:val="hybridMultilevel"/>
    <w:tmpl w:val="D2C6A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24"/>
  </w:num>
  <w:num w:numId="4">
    <w:abstractNumId w:val="28"/>
  </w:num>
  <w:num w:numId="5">
    <w:abstractNumId w:val="23"/>
  </w:num>
  <w:num w:numId="6">
    <w:abstractNumId w:val="15"/>
  </w:num>
  <w:num w:numId="7">
    <w:abstractNumId w:val="26"/>
  </w:num>
  <w:num w:numId="8">
    <w:abstractNumId w:val="4"/>
  </w:num>
  <w:num w:numId="9">
    <w:abstractNumId w:val="22"/>
  </w:num>
  <w:num w:numId="10">
    <w:abstractNumId w:val="25"/>
  </w:num>
  <w:num w:numId="11">
    <w:abstractNumId w:val="27"/>
  </w:num>
  <w:num w:numId="12">
    <w:abstractNumId w:val="11"/>
  </w:num>
  <w:num w:numId="13">
    <w:abstractNumId w:val="9"/>
  </w:num>
  <w:num w:numId="14">
    <w:abstractNumId w:val="20"/>
  </w:num>
  <w:num w:numId="15">
    <w:abstractNumId w:val="13"/>
  </w:num>
  <w:num w:numId="16">
    <w:abstractNumId w:val="16"/>
  </w:num>
  <w:num w:numId="17">
    <w:abstractNumId w:val="18"/>
  </w:num>
  <w:num w:numId="18">
    <w:abstractNumId w:val="10"/>
  </w:num>
  <w:num w:numId="19">
    <w:abstractNumId w:val="3"/>
  </w:num>
  <w:num w:numId="20">
    <w:abstractNumId w:val="21"/>
  </w:num>
  <w:num w:numId="21">
    <w:abstractNumId w:val="12"/>
  </w:num>
  <w:num w:numId="22">
    <w:abstractNumId w:val="19"/>
  </w:num>
  <w:num w:numId="23">
    <w:abstractNumId w:val="17"/>
  </w:num>
  <w:num w:numId="24">
    <w:abstractNumId w:val="6"/>
  </w:num>
  <w:num w:numId="25">
    <w:abstractNumId w:val="24"/>
  </w:num>
  <w:num w:numId="26">
    <w:abstractNumId w:val="1"/>
  </w:num>
  <w:num w:numId="27">
    <w:abstractNumId w:val="0"/>
  </w:num>
  <w:num w:numId="28">
    <w:abstractNumId w:val="8"/>
  </w:num>
  <w:num w:numId="29">
    <w:abstractNumId w:val="7"/>
  </w:num>
  <w:num w:numId="3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3940"/>
    <w:rsid w:val="0001485D"/>
    <w:rsid w:val="000149EC"/>
    <w:rsid w:val="00016B49"/>
    <w:rsid w:val="00023C86"/>
    <w:rsid w:val="00032D47"/>
    <w:rsid w:val="00051B4B"/>
    <w:rsid w:val="000550BC"/>
    <w:rsid w:val="0006140E"/>
    <w:rsid w:val="000614B0"/>
    <w:rsid w:val="000720E4"/>
    <w:rsid w:val="000728C3"/>
    <w:rsid w:val="000730C9"/>
    <w:rsid w:val="0007575F"/>
    <w:rsid w:val="00075FD1"/>
    <w:rsid w:val="00085800"/>
    <w:rsid w:val="000865E3"/>
    <w:rsid w:val="00086D0F"/>
    <w:rsid w:val="00092567"/>
    <w:rsid w:val="00092B14"/>
    <w:rsid w:val="00092D2C"/>
    <w:rsid w:val="000A2CC8"/>
    <w:rsid w:val="000A36A9"/>
    <w:rsid w:val="000A42FF"/>
    <w:rsid w:val="000A5BB2"/>
    <w:rsid w:val="000B0720"/>
    <w:rsid w:val="000C1E93"/>
    <w:rsid w:val="000C57B9"/>
    <w:rsid w:val="000D0B7F"/>
    <w:rsid w:val="000D64A0"/>
    <w:rsid w:val="000E0173"/>
    <w:rsid w:val="000E15A2"/>
    <w:rsid w:val="000E24E7"/>
    <w:rsid w:val="000E29D8"/>
    <w:rsid w:val="000E51EC"/>
    <w:rsid w:val="000E798A"/>
    <w:rsid w:val="000F29C5"/>
    <w:rsid w:val="000F3C20"/>
    <w:rsid w:val="000F6995"/>
    <w:rsid w:val="000F7F0E"/>
    <w:rsid w:val="00102AA0"/>
    <w:rsid w:val="0010303E"/>
    <w:rsid w:val="0010570F"/>
    <w:rsid w:val="00107162"/>
    <w:rsid w:val="00107EE0"/>
    <w:rsid w:val="001123DC"/>
    <w:rsid w:val="00113185"/>
    <w:rsid w:val="0011327D"/>
    <w:rsid w:val="0011622F"/>
    <w:rsid w:val="00116DA6"/>
    <w:rsid w:val="0012343B"/>
    <w:rsid w:val="00125166"/>
    <w:rsid w:val="001336EF"/>
    <w:rsid w:val="001417A8"/>
    <w:rsid w:val="00146AC7"/>
    <w:rsid w:val="00147442"/>
    <w:rsid w:val="00153793"/>
    <w:rsid w:val="001538EC"/>
    <w:rsid w:val="0016619B"/>
    <w:rsid w:val="00172743"/>
    <w:rsid w:val="0017469E"/>
    <w:rsid w:val="0017741C"/>
    <w:rsid w:val="00194411"/>
    <w:rsid w:val="001A1BC0"/>
    <w:rsid w:val="001A26EF"/>
    <w:rsid w:val="001A303A"/>
    <w:rsid w:val="001A33CA"/>
    <w:rsid w:val="001A3E43"/>
    <w:rsid w:val="001A6212"/>
    <w:rsid w:val="001B70E0"/>
    <w:rsid w:val="001B731B"/>
    <w:rsid w:val="001C34DD"/>
    <w:rsid w:val="001C39EB"/>
    <w:rsid w:val="001D15F3"/>
    <w:rsid w:val="001D2FEF"/>
    <w:rsid w:val="001D60B5"/>
    <w:rsid w:val="001D729D"/>
    <w:rsid w:val="001E0CE1"/>
    <w:rsid w:val="001E0E7F"/>
    <w:rsid w:val="001E58CC"/>
    <w:rsid w:val="001F59ED"/>
    <w:rsid w:val="00201958"/>
    <w:rsid w:val="00206748"/>
    <w:rsid w:val="002068DA"/>
    <w:rsid w:val="00211D37"/>
    <w:rsid w:val="00212204"/>
    <w:rsid w:val="00216763"/>
    <w:rsid w:val="00222269"/>
    <w:rsid w:val="00222427"/>
    <w:rsid w:val="00225437"/>
    <w:rsid w:val="0022603A"/>
    <w:rsid w:val="00233D70"/>
    <w:rsid w:val="00235373"/>
    <w:rsid w:val="00235624"/>
    <w:rsid w:val="00237CD4"/>
    <w:rsid w:val="00240C25"/>
    <w:rsid w:val="00242BA1"/>
    <w:rsid w:val="00244B05"/>
    <w:rsid w:val="00244C00"/>
    <w:rsid w:val="00246611"/>
    <w:rsid w:val="00246D61"/>
    <w:rsid w:val="0024786A"/>
    <w:rsid w:val="002538D9"/>
    <w:rsid w:val="00253EE3"/>
    <w:rsid w:val="0025706D"/>
    <w:rsid w:val="00257259"/>
    <w:rsid w:val="002578CB"/>
    <w:rsid w:val="002605C0"/>
    <w:rsid w:val="00262116"/>
    <w:rsid w:val="00267362"/>
    <w:rsid w:val="002725E8"/>
    <w:rsid w:val="00272EC2"/>
    <w:rsid w:val="00273B2A"/>
    <w:rsid w:val="00282383"/>
    <w:rsid w:val="00283C87"/>
    <w:rsid w:val="00297225"/>
    <w:rsid w:val="002A005E"/>
    <w:rsid w:val="002A245E"/>
    <w:rsid w:val="002A44C0"/>
    <w:rsid w:val="002C0488"/>
    <w:rsid w:val="002C4097"/>
    <w:rsid w:val="002C5530"/>
    <w:rsid w:val="002C585A"/>
    <w:rsid w:val="002D3D42"/>
    <w:rsid w:val="002D479B"/>
    <w:rsid w:val="002D6EC9"/>
    <w:rsid w:val="002D787B"/>
    <w:rsid w:val="002E28F4"/>
    <w:rsid w:val="002F2C80"/>
    <w:rsid w:val="00301C64"/>
    <w:rsid w:val="00315DC4"/>
    <w:rsid w:val="00317020"/>
    <w:rsid w:val="00317BF5"/>
    <w:rsid w:val="00320B4D"/>
    <w:rsid w:val="0032378E"/>
    <w:rsid w:val="00326F9B"/>
    <w:rsid w:val="00326FF6"/>
    <w:rsid w:val="00327A22"/>
    <w:rsid w:val="00334843"/>
    <w:rsid w:val="00335E20"/>
    <w:rsid w:val="00341351"/>
    <w:rsid w:val="00342130"/>
    <w:rsid w:val="00344C79"/>
    <w:rsid w:val="00346605"/>
    <w:rsid w:val="00347C79"/>
    <w:rsid w:val="0035318F"/>
    <w:rsid w:val="00353344"/>
    <w:rsid w:val="0036306A"/>
    <w:rsid w:val="00367096"/>
    <w:rsid w:val="00370B2A"/>
    <w:rsid w:val="003727DB"/>
    <w:rsid w:val="00374B06"/>
    <w:rsid w:val="00376E5B"/>
    <w:rsid w:val="00377E71"/>
    <w:rsid w:val="0038240A"/>
    <w:rsid w:val="00384081"/>
    <w:rsid w:val="00384711"/>
    <w:rsid w:val="00386642"/>
    <w:rsid w:val="003A298A"/>
    <w:rsid w:val="003A566A"/>
    <w:rsid w:val="003B03B2"/>
    <w:rsid w:val="003B17FB"/>
    <w:rsid w:val="003B1EC9"/>
    <w:rsid w:val="003B3977"/>
    <w:rsid w:val="003C3DAB"/>
    <w:rsid w:val="003C47D0"/>
    <w:rsid w:val="003D0262"/>
    <w:rsid w:val="003E1304"/>
    <w:rsid w:val="003E2144"/>
    <w:rsid w:val="003E7121"/>
    <w:rsid w:val="003E75D0"/>
    <w:rsid w:val="003F0731"/>
    <w:rsid w:val="003F33B4"/>
    <w:rsid w:val="003F681C"/>
    <w:rsid w:val="00405F6D"/>
    <w:rsid w:val="0041105E"/>
    <w:rsid w:val="004122FC"/>
    <w:rsid w:val="00415776"/>
    <w:rsid w:val="004217D4"/>
    <w:rsid w:val="00423EC4"/>
    <w:rsid w:val="00424124"/>
    <w:rsid w:val="00427E2B"/>
    <w:rsid w:val="00431852"/>
    <w:rsid w:val="0043361F"/>
    <w:rsid w:val="00434212"/>
    <w:rsid w:val="00435D2E"/>
    <w:rsid w:val="004375E1"/>
    <w:rsid w:val="0043789C"/>
    <w:rsid w:val="00437913"/>
    <w:rsid w:val="00437EDA"/>
    <w:rsid w:val="004401BB"/>
    <w:rsid w:val="00440F6E"/>
    <w:rsid w:val="00441B76"/>
    <w:rsid w:val="00443645"/>
    <w:rsid w:val="0044365C"/>
    <w:rsid w:val="00443CD6"/>
    <w:rsid w:val="004528C4"/>
    <w:rsid w:val="00452C74"/>
    <w:rsid w:val="004552C9"/>
    <w:rsid w:val="0045544B"/>
    <w:rsid w:val="004607AC"/>
    <w:rsid w:val="0046127E"/>
    <w:rsid w:val="004678E1"/>
    <w:rsid w:val="00473281"/>
    <w:rsid w:val="00473B68"/>
    <w:rsid w:val="004825F4"/>
    <w:rsid w:val="0048301B"/>
    <w:rsid w:val="00487201"/>
    <w:rsid w:val="00491921"/>
    <w:rsid w:val="004A5ABE"/>
    <w:rsid w:val="004A6424"/>
    <w:rsid w:val="004A69D0"/>
    <w:rsid w:val="004B3F77"/>
    <w:rsid w:val="004B6E00"/>
    <w:rsid w:val="004C186B"/>
    <w:rsid w:val="004C3F2E"/>
    <w:rsid w:val="004C4856"/>
    <w:rsid w:val="004C5C31"/>
    <w:rsid w:val="004C7F89"/>
    <w:rsid w:val="004D054E"/>
    <w:rsid w:val="004D5B6A"/>
    <w:rsid w:val="004D71DE"/>
    <w:rsid w:val="004D780D"/>
    <w:rsid w:val="004D7CF8"/>
    <w:rsid w:val="004E3DBA"/>
    <w:rsid w:val="004E5DA6"/>
    <w:rsid w:val="004E6BC0"/>
    <w:rsid w:val="004E6D3B"/>
    <w:rsid w:val="00503CFA"/>
    <w:rsid w:val="005055A6"/>
    <w:rsid w:val="00506906"/>
    <w:rsid w:val="00507060"/>
    <w:rsid w:val="00510557"/>
    <w:rsid w:val="00510835"/>
    <w:rsid w:val="0051179B"/>
    <w:rsid w:val="005224C0"/>
    <w:rsid w:val="00523623"/>
    <w:rsid w:val="0053476F"/>
    <w:rsid w:val="00540909"/>
    <w:rsid w:val="00544E45"/>
    <w:rsid w:val="00550E8B"/>
    <w:rsid w:val="005574CD"/>
    <w:rsid w:val="0056238B"/>
    <w:rsid w:val="00565BDB"/>
    <w:rsid w:val="00566E62"/>
    <w:rsid w:val="005758E7"/>
    <w:rsid w:val="00575A37"/>
    <w:rsid w:val="00577453"/>
    <w:rsid w:val="005778C8"/>
    <w:rsid w:val="00577CF5"/>
    <w:rsid w:val="0058104E"/>
    <w:rsid w:val="0058120D"/>
    <w:rsid w:val="0058323D"/>
    <w:rsid w:val="00590271"/>
    <w:rsid w:val="00590557"/>
    <w:rsid w:val="005917D6"/>
    <w:rsid w:val="005929B9"/>
    <w:rsid w:val="00593DA2"/>
    <w:rsid w:val="005A0B4C"/>
    <w:rsid w:val="005A0EFB"/>
    <w:rsid w:val="005A11F3"/>
    <w:rsid w:val="005A4203"/>
    <w:rsid w:val="005A69E2"/>
    <w:rsid w:val="005B1400"/>
    <w:rsid w:val="005B47BD"/>
    <w:rsid w:val="005B6D2C"/>
    <w:rsid w:val="005B6FA6"/>
    <w:rsid w:val="005C3B9E"/>
    <w:rsid w:val="005C487F"/>
    <w:rsid w:val="005C717B"/>
    <w:rsid w:val="005D2C51"/>
    <w:rsid w:val="005D427F"/>
    <w:rsid w:val="005E193B"/>
    <w:rsid w:val="005E59D1"/>
    <w:rsid w:val="005F20AC"/>
    <w:rsid w:val="005F4B86"/>
    <w:rsid w:val="005F613D"/>
    <w:rsid w:val="00603015"/>
    <w:rsid w:val="0060603E"/>
    <w:rsid w:val="00632859"/>
    <w:rsid w:val="00632C81"/>
    <w:rsid w:val="00634707"/>
    <w:rsid w:val="00642969"/>
    <w:rsid w:val="0064357F"/>
    <w:rsid w:val="00644034"/>
    <w:rsid w:val="00650FEB"/>
    <w:rsid w:val="006513D2"/>
    <w:rsid w:val="00652AC8"/>
    <w:rsid w:val="0066157D"/>
    <w:rsid w:val="00666DD8"/>
    <w:rsid w:val="006756FB"/>
    <w:rsid w:val="00675C59"/>
    <w:rsid w:val="006856B3"/>
    <w:rsid w:val="00685E11"/>
    <w:rsid w:val="00686148"/>
    <w:rsid w:val="006912BA"/>
    <w:rsid w:val="00691CD0"/>
    <w:rsid w:val="006A0EDC"/>
    <w:rsid w:val="006A2D2E"/>
    <w:rsid w:val="006A6955"/>
    <w:rsid w:val="006A6BC2"/>
    <w:rsid w:val="006A7F12"/>
    <w:rsid w:val="006C07D0"/>
    <w:rsid w:val="006C452E"/>
    <w:rsid w:val="006C5ACF"/>
    <w:rsid w:val="006D40EA"/>
    <w:rsid w:val="006D799A"/>
    <w:rsid w:val="006E790B"/>
    <w:rsid w:val="006F0145"/>
    <w:rsid w:val="006F055C"/>
    <w:rsid w:val="006F763F"/>
    <w:rsid w:val="00706006"/>
    <w:rsid w:val="00707D20"/>
    <w:rsid w:val="00721AD7"/>
    <w:rsid w:val="007225EF"/>
    <w:rsid w:val="00722BA6"/>
    <w:rsid w:val="00723DC5"/>
    <w:rsid w:val="00727952"/>
    <w:rsid w:val="00727D8B"/>
    <w:rsid w:val="00732432"/>
    <w:rsid w:val="0073254E"/>
    <w:rsid w:val="007338D6"/>
    <w:rsid w:val="00740609"/>
    <w:rsid w:val="00740B36"/>
    <w:rsid w:val="0074479B"/>
    <w:rsid w:val="00747283"/>
    <w:rsid w:val="00747A6F"/>
    <w:rsid w:val="00750691"/>
    <w:rsid w:val="00752E62"/>
    <w:rsid w:val="0075622F"/>
    <w:rsid w:val="0076067D"/>
    <w:rsid w:val="00767A31"/>
    <w:rsid w:val="00770286"/>
    <w:rsid w:val="00775AAE"/>
    <w:rsid w:val="0077622E"/>
    <w:rsid w:val="00776E44"/>
    <w:rsid w:val="00782CDC"/>
    <w:rsid w:val="007839F9"/>
    <w:rsid w:val="00784826"/>
    <w:rsid w:val="00787E64"/>
    <w:rsid w:val="00790222"/>
    <w:rsid w:val="00790F25"/>
    <w:rsid w:val="007916A7"/>
    <w:rsid w:val="007A2765"/>
    <w:rsid w:val="007A2F4B"/>
    <w:rsid w:val="007A3629"/>
    <w:rsid w:val="007A46B2"/>
    <w:rsid w:val="007A6747"/>
    <w:rsid w:val="007A6B4C"/>
    <w:rsid w:val="007A77F0"/>
    <w:rsid w:val="007A7C83"/>
    <w:rsid w:val="007B079E"/>
    <w:rsid w:val="007B13E5"/>
    <w:rsid w:val="007B2F6B"/>
    <w:rsid w:val="007B473A"/>
    <w:rsid w:val="007C1E6A"/>
    <w:rsid w:val="007D0BCB"/>
    <w:rsid w:val="007D2C48"/>
    <w:rsid w:val="007E34B8"/>
    <w:rsid w:val="007E47E4"/>
    <w:rsid w:val="007E546F"/>
    <w:rsid w:val="007E58C0"/>
    <w:rsid w:val="007F1928"/>
    <w:rsid w:val="007F392E"/>
    <w:rsid w:val="00802376"/>
    <w:rsid w:val="00810CEE"/>
    <w:rsid w:val="00811A1B"/>
    <w:rsid w:val="00812B08"/>
    <w:rsid w:val="008175F8"/>
    <w:rsid w:val="008203D4"/>
    <w:rsid w:val="00823849"/>
    <w:rsid w:val="00824DED"/>
    <w:rsid w:val="00826E5A"/>
    <w:rsid w:val="0084277C"/>
    <w:rsid w:val="00842EA7"/>
    <w:rsid w:val="008437B2"/>
    <w:rsid w:val="00843F1C"/>
    <w:rsid w:val="00844196"/>
    <w:rsid w:val="00847E82"/>
    <w:rsid w:val="00850DCE"/>
    <w:rsid w:val="00851DB7"/>
    <w:rsid w:val="00854FBB"/>
    <w:rsid w:val="00862366"/>
    <w:rsid w:val="008661BA"/>
    <w:rsid w:val="00870A45"/>
    <w:rsid w:val="008718B5"/>
    <w:rsid w:val="00871CA8"/>
    <w:rsid w:val="0088144D"/>
    <w:rsid w:val="00882DEB"/>
    <w:rsid w:val="00884A1E"/>
    <w:rsid w:val="00885004"/>
    <w:rsid w:val="00887AB4"/>
    <w:rsid w:val="00894290"/>
    <w:rsid w:val="00895E11"/>
    <w:rsid w:val="00896954"/>
    <w:rsid w:val="008A25A1"/>
    <w:rsid w:val="008B40F6"/>
    <w:rsid w:val="008C01CC"/>
    <w:rsid w:val="008C1AFD"/>
    <w:rsid w:val="008C5F38"/>
    <w:rsid w:val="008D1439"/>
    <w:rsid w:val="008D1AEF"/>
    <w:rsid w:val="008D4647"/>
    <w:rsid w:val="008D7139"/>
    <w:rsid w:val="008E28A7"/>
    <w:rsid w:val="008E5C4B"/>
    <w:rsid w:val="008E6B52"/>
    <w:rsid w:val="008E74F7"/>
    <w:rsid w:val="008F76DD"/>
    <w:rsid w:val="00900EB1"/>
    <w:rsid w:val="009065D2"/>
    <w:rsid w:val="00907973"/>
    <w:rsid w:val="00917BA1"/>
    <w:rsid w:val="00925FA2"/>
    <w:rsid w:val="00926A9C"/>
    <w:rsid w:val="00927803"/>
    <w:rsid w:val="00936DB5"/>
    <w:rsid w:val="00944B54"/>
    <w:rsid w:val="00951527"/>
    <w:rsid w:val="009515C2"/>
    <w:rsid w:val="00957132"/>
    <w:rsid w:val="00957CD1"/>
    <w:rsid w:val="00961DB2"/>
    <w:rsid w:val="0096246D"/>
    <w:rsid w:val="009639F3"/>
    <w:rsid w:val="0097292F"/>
    <w:rsid w:val="009741D9"/>
    <w:rsid w:val="009760B7"/>
    <w:rsid w:val="00982CA4"/>
    <w:rsid w:val="00984235"/>
    <w:rsid w:val="00984DCF"/>
    <w:rsid w:val="00993D92"/>
    <w:rsid w:val="009A076C"/>
    <w:rsid w:val="009A4D63"/>
    <w:rsid w:val="009A54FC"/>
    <w:rsid w:val="009A6FBE"/>
    <w:rsid w:val="009A7C93"/>
    <w:rsid w:val="009A7D50"/>
    <w:rsid w:val="009B08C5"/>
    <w:rsid w:val="009B52C0"/>
    <w:rsid w:val="009C2167"/>
    <w:rsid w:val="009C257A"/>
    <w:rsid w:val="009C5D7C"/>
    <w:rsid w:val="009D34B8"/>
    <w:rsid w:val="009D46C1"/>
    <w:rsid w:val="009D714A"/>
    <w:rsid w:val="009E0D02"/>
    <w:rsid w:val="009E127B"/>
    <w:rsid w:val="009E38D4"/>
    <w:rsid w:val="009E3E46"/>
    <w:rsid w:val="009E41FF"/>
    <w:rsid w:val="009E56F8"/>
    <w:rsid w:val="009E5838"/>
    <w:rsid w:val="009E6CF7"/>
    <w:rsid w:val="009F20CB"/>
    <w:rsid w:val="00A07EFF"/>
    <w:rsid w:val="00A11704"/>
    <w:rsid w:val="00A11840"/>
    <w:rsid w:val="00A12328"/>
    <w:rsid w:val="00A1750D"/>
    <w:rsid w:val="00A22C61"/>
    <w:rsid w:val="00A262E4"/>
    <w:rsid w:val="00A41CF3"/>
    <w:rsid w:val="00A42D63"/>
    <w:rsid w:val="00A45872"/>
    <w:rsid w:val="00A4674D"/>
    <w:rsid w:val="00A537A4"/>
    <w:rsid w:val="00A55FF3"/>
    <w:rsid w:val="00A603CE"/>
    <w:rsid w:val="00A64CF7"/>
    <w:rsid w:val="00A664F3"/>
    <w:rsid w:val="00A66A04"/>
    <w:rsid w:val="00A70602"/>
    <w:rsid w:val="00A717FF"/>
    <w:rsid w:val="00A72033"/>
    <w:rsid w:val="00A74CC4"/>
    <w:rsid w:val="00A816F9"/>
    <w:rsid w:val="00A845FA"/>
    <w:rsid w:val="00A86763"/>
    <w:rsid w:val="00A8721E"/>
    <w:rsid w:val="00A87EB5"/>
    <w:rsid w:val="00A92495"/>
    <w:rsid w:val="00A947CB"/>
    <w:rsid w:val="00AA311D"/>
    <w:rsid w:val="00AA410C"/>
    <w:rsid w:val="00AA5899"/>
    <w:rsid w:val="00AB23D4"/>
    <w:rsid w:val="00AB5087"/>
    <w:rsid w:val="00AB5A83"/>
    <w:rsid w:val="00AB7FC6"/>
    <w:rsid w:val="00AC1B13"/>
    <w:rsid w:val="00AC7B6D"/>
    <w:rsid w:val="00AD115D"/>
    <w:rsid w:val="00AD16AE"/>
    <w:rsid w:val="00AD3F7A"/>
    <w:rsid w:val="00AD4431"/>
    <w:rsid w:val="00AD6C53"/>
    <w:rsid w:val="00AE2A1A"/>
    <w:rsid w:val="00AE72F4"/>
    <w:rsid w:val="00AF3194"/>
    <w:rsid w:val="00AF6063"/>
    <w:rsid w:val="00AF65DE"/>
    <w:rsid w:val="00B04278"/>
    <w:rsid w:val="00B04704"/>
    <w:rsid w:val="00B12672"/>
    <w:rsid w:val="00B1656F"/>
    <w:rsid w:val="00B20809"/>
    <w:rsid w:val="00B2434D"/>
    <w:rsid w:val="00B24D29"/>
    <w:rsid w:val="00B3191E"/>
    <w:rsid w:val="00B32219"/>
    <w:rsid w:val="00B323DA"/>
    <w:rsid w:val="00B34716"/>
    <w:rsid w:val="00B35FCE"/>
    <w:rsid w:val="00B51862"/>
    <w:rsid w:val="00B57719"/>
    <w:rsid w:val="00B601A4"/>
    <w:rsid w:val="00B61A13"/>
    <w:rsid w:val="00B633E5"/>
    <w:rsid w:val="00B634B5"/>
    <w:rsid w:val="00B648CA"/>
    <w:rsid w:val="00B70DF1"/>
    <w:rsid w:val="00B74230"/>
    <w:rsid w:val="00B74894"/>
    <w:rsid w:val="00B82B83"/>
    <w:rsid w:val="00B8398D"/>
    <w:rsid w:val="00B85E23"/>
    <w:rsid w:val="00B87525"/>
    <w:rsid w:val="00B909F7"/>
    <w:rsid w:val="00B93919"/>
    <w:rsid w:val="00B9666C"/>
    <w:rsid w:val="00B96A24"/>
    <w:rsid w:val="00BA454B"/>
    <w:rsid w:val="00BA677D"/>
    <w:rsid w:val="00BB26FF"/>
    <w:rsid w:val="00BC1723"/>
    <w:rsid w:val="00BC2FF6"/>
    <w:rsid w:val="00BC4B4B"/>
    <w:rsid w:val="00BC4BAC"/>
    <w:rsid w:val="00BC6F83"/>
    <w:rsid w:val="00BD006B"/>
    <w:rsid w:val="00BD34B4"/>
    <w:rsid w:val="00BD53C8"/>
    <w:rsid w:val="00BD5542"/>
    <w:rsid w:val="00BD7049"/>
    <w:rsid w:val="00BE37DB"/>
    <w:rsid w:val="00BE3908"/>
    <w:rsid w:val="00BE569B"/>
    <w:rsid w:val="00BF2C5D"/>
    <w:rsid w:val="00BF31E3"/>
    <w:rsid w:val="00BF5136"/>
    <w:rsid w:val="00BF7944"/>
    <w:rsid w:val="00C01A43"/>
    <w:rsid w:val="00C02E0A"/>
    <w:rsid w:val="00C07731"/>
    <w:rsid w:val="00C13D06"/>
    <w:rsid w:val="00C218A9"/>
    <w:rsid w:val="00C2531E"/>
    <w:rsid w:val="00C27020"/>
    <w:rsid w:val="00C31241"/>
    <w:rsid w:val="00C34A87"/>
    <w:rsid w:val="00C45940"/>
    <w:rsid w:val="00C47EE0"/>
    <w:rsid w:val="00C569EE"/>
    <w:rsid w:val="00C57C77"/>
    <w:rsid w:val="00C63006"/>
    <w:rsid w:val="00C64E95"/>
    <w:rsid w:val="00C669E4"/>
    <w:rsid w:val="00C67568"/>
    <w:rsid w:val="00C67E4D"/>
    <w:rsid w:val="00C710A0"/>
    <w:rsid w:val="00C7148A"/>
    <w:rsid w:val="00C71871"/>
    <w:rsid w:val="00C80066"/>
    <w:rsid w:val="00C90D5F"/>
    <w:rsid w:val="00C913B6"/>
    <w:rsid w:val="00C93DBC"/>
    <w:rsid w:val="00CA1AD2"/>
    <w:rsid w:val="00CA6B02"/>
    <w:rsid w:val="00CA6EA3"/>
    <w:rsid w:val="00CB15A7"/>
    <w:rsid w:val="00CB4432"/>
    <w:rsid w:val="00CB7352"/>
    <w:rsid w:val="00CC7D73"/>
    <w:rsid w:val="00CD0FB2"/>
    <w:rsid w:val="00CD4510"/>
    <w:rsid w:val="00CD58D2"/>
    <w:rsid w:val="00CE0C9D"/>
    <w:rsid w:val="00CE268B"/>
    <w:rsid w:val="00D0034B"/>
    <w:rsid w:val="00D03B7E"/>
    <w:rsid w:val="00D160C9"/>
    <w:rsid w:val="00D222D5"/>
    <w:rsid w:val="00D2339E"/>
    <w:rsid w:val="00D23CDC"/>
    <w:rsid w:val="00D268EB"/>
    <w:rsid w:val="00D274C6"/>
    <w:rsid w:val="00D3413F"/>
    <w:rsid w:val="00D34CF7"/>
    <w:rsid w:val="00D4126F"/>
    <w:rsid w:val="00D456D8"/>
    <w:rsid w:val="00D45A0E"/>
    <w:rsid w:val="00D4758C"/>
    <w:rsid w:val="00D56786"/>
    <w:rsid w:val="00D6164A"/>
    <w:rsid w:val="00D61EAB"/>
    <w:rsid w:val="00D701D3"/>
    <w:rsid w:val="00D72ECF"/>
    <w:rsid w:val="00D7445F"/>
    <w:rsid w:val="00D74F40"/>
    <w:rsid w:val="00D76AD9"/>
    <w:rsid w:val="00D87B02"/>
    <w:rsid w:val="00D9143B"/>
    <w:rsid w:val="00D92218"/>
    <w:rsid w:val="00D92B1D"/>
    <w:rsid w:val="00D9576C"/>
    <w:rsid w:val="00DA63DB"/>
    <w:rsid w:val="00DA6616"/>
    <w:rsid w:val="00DB0928"/>
    <w:rsid w:val="00DC0E31"/>
    <w:rsid w:val="00DC33ED"/>
    <w:rsid w:val="00DC70D0"/>
    <w:rsid w:val="00DC7DD6"/>
    <w:rsid w:val="00DD1F47"/>
    <w:rsid w:val="00DD2249"/>
    <w:rsid w:val="00DD5821"/>
    <w:rsid w:val="00DD627B"/>
    <w:rsid w:val="00DE1F43"/>
    <w:rsid w:val="00DE21F6"/>
    <w:rsid w:val="00DE5321"/>
    <w:rsid w:val="00DF2552"/>
    <w:rsid w:val="00DF6A61"/>
    <w:rsid w:val="00E0012B"/>
    <w:rsid w:val="00E00FBB"/>
    <w:rsid w:val="00E06C8F"/>
    <w:rsid w:val="00E13146"/>
    <w:rsid w:val="00E14FE2"/>
    <w:rsid w:val="00E16CE3"/>
    <w:rsid w:val="00E174FC"/>
    <w:rsid w:val="00E17BC3"/>
    <w:rsid w:val="00E17DBE"/>
    <w:rsid w:val="00E20070"/>
    <w:rsid w:val="00E20994"/>
    <w:rsid w:val="00E22124"/>
    <w:rsid w:val="00E261AD"/>
    <w:rsid w:val="00E31669"/>
    <w:rsid w:val="00E324C0"/>
    <w:rsid w:val="00E32D0E"/>
    <w:rsid w:val="00E377B6"/>
    <w:rsid w:val="00E40344"/>
    <w:rsid w:val="00E42AD4"/>
    <w:rsid w:val="00E50EE8"/>
    <w:rsid w:val="00E576BD"/>
    <w:rsid w:val="00E57BE9"/>
    <w:rsid w:val="00E63FED"/>
    <w:rsid w:val="00E67086"/>
    <w:rsid w:val="00E837A0"/>
    <w:rsid w:val="00E857E4"/>
    <w:rsid w:val="00E85B05"/>
    <w:rsid w:val="00E85FA3"/>
    <w:rsid w:val="00E876DD"/>
    <w:rsid w:val="00E90020"/>
    <w:rsid w:val="00E90545"/>
    <w:rsid w:val="00E9139D"/>
    <w:rsid w:val="00E92487"/>
    <w:rsid w:val="00EA1DDD"/>
    <w:rsid w:val="00EA3B02"/>
    <w:rsid w:val="00EA491B"/>
    <w:rsid w:val="00EA5A59"/>
    <w:rsid w:val="00EB3301"/>
    <w:rsid w:val="00EB3DC6"/>
    <w:rsid w:val="00EB5665"/>
    <w:rsid w:val="00EB5F0C"/>
    <w:rsid w:val="00EC20DC"/>
    <w:rsid w:val="00EC5230"/>
    <w:rsid w:val="00EC6D46"/>
    <w:rsid w:val="00EC7ACB"/>
    <w:rsid w:val="00ED6DBC"/>
    <w:rsid w:val="00EE3077"/>
    <w:rsid w:val="00EE4A18"/>
    <w:rsid w:val="00EE55C4"/>
    <w:rsid w:val="00EF4166"/>
    <w:rsid w:val="00EF61D1"/>
    <w:rsid w:val="00F022DC"/>
    <w:rsid w:val="00F154D0"/>
    <w:rsid w:val="00F261D6"/>
    <w:rsid w:val="00F27992"/>
    <w:rsid w:val="00F33233"/>
    <w:rsid w:val="00F35911"/>
    <w:rsid w:val="00F415B8"/>
    <w:rsid w:val="00F42D43"/>
    <w:rsid w:val="00F57965"/>
    <w:rsid w:val="00F72B1B"/>
    <w:rsid w:val="00F77E12"/>
    <w:rsid w:val="00F814D5"/>
    <w:rsid w:val="00F814DE"/>
    <w:rsid w:val="00F81CEF"/>
    <w:rsid w:val="00F84CE6"/>
    <w:rsid w:val="00F90045"/>
    <w:rsid w:val="00F925FE"/>
    <w:rsid w:val="00F9311B"/>
    <w:rsid w:val="00FA28D1"/>
    <w:rsid w:val="00FA537D"/>
    <w:rsid w:val="00FA5D82"/>
    <w:rsid w:val="00FA6558"/>
    <w:rsid w:val="00FB22C3"/>
    <w:rsid w:val="00FB4D24"/>
    <w:rsid w:val="00FC1672"/>
    <w:rsid w:val="00FC2C34"/>
    <w:rsid w:val="00FC2FB5"/>
    <w:rsid w:val="00FD04BF"/>
    <w:rsid w:val="00FD37B4"/>
    <w:rsid w:val="00FD3EDB"/>
    <w:rsid w:val="00FD489B"/>
    <w:rsid w:val="00FD530D"/>
    <w:rsid w:val="00FE0217"/>
    <w:rsid w:val="00FE560D"/>
    <w:rsid w:val="00FE6C15"/>
    <w:rsid w:val="00FF1DFC"/>
    <w:rsid w:val="00FF3CC2"/>
    <w:rsid w:val="00FF4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940"/>
    <w:pPr>
      <w:spacing w:before="60" w:after="120"/>
      <w:jc w:val="both"/>
    </w:pPr>
    <w:rPr>
      <w:rFonts w:eastAsia="Times New Roman"/>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eastAsia="Malgun Gothic"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35927943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1034887577">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5284A-D331-40F7-9146-990CD2155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5</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Ghosh, Arunabha</cp:lastModifiedBy>
  <cp:revision>18</cp:revision>
  <cp:lastPrinted>2017-03-24T19:33:00Z</cp:lastPrinted>
  <dcterms:created xsi:type="dcterms:W3CDTF">2017-09-11T22:08:00Z</dcterms:created>
  <dcterms:modified xsi:type="dcterms:W3CDTF">2017-11-18T03:51:00Z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